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5152" w14:textId="1B9AAF05" w:rsidR="0034785A" w:rsidRPr="0034785A" w:rsidRDefault="0034785A" w:rsidP="0034785A">
      <w:pPr>
        <w:spacing w:line="276" w:lineRule="auto"/>
        <w:jc w:val="both"/>
        <w:rPr>
          <w:rFonts w:ascii="Arial" w:eastAsia="Arial Unicode MS" w:hAnsi="Arial" w:cs="Arial"/>
          <w:b/>
          <w:lang w:eastAsia="es-ES"/>
        </w:rPr>
      </w:pPr>
      <w:r w:rsidRPr="0034785A">
        <w:rPr>
          <w:rFonts w:ascii="Arial" w:eastAsia="Arial Unicode MS" w:hAnsi="Arial" w:cs="Arial"/>
          <w:b/>
          <w:lang w:eastAsia="es-ES"/>
        </w:rPr>
        <w:t>ACUERDO NÚMERO OGAIPO/CG/</w:t>
      </w:r>
      <w:r w:rsidR="008C5A44">
        <w:rPr>
          <w:rFonts w:ascii="Arial" w:eastAsia="Arial Unicode MS" w:hAnsi="Arial" w:cs="Arial"/>
          <w:b/>
          <w:lang w:eastAsia="es-ES"/>
        </w:rPr>
        <w:t>088</w:t>
      </w:r>
      <w:r w:rsidRPr="0034785A">
        <w:rPr>
          <w:rFonts w:ascii="Arial" w:eastAsia="Arial Unicode MS" w:hAnsi="Arial" w:cs="Arial"/>
          <w:b/>
          <w:lang w:eastAsia="es-ES"/>
        </w:rPr>
        <w:t>/2022 MEDIANTE EL CUAL EL CONSEJO GENERAL DEL ÓRGANO GARANTE DE ACCESO A LA INFORMACIÓN PÚBLICA, TRANSPARENCIA, PROTECCIÓN DE DATOS PERSONALES Y BUEN GOBIERNO DEL ESTADO DE OAXACA, APRUEBA LA ENTREGA DE RECONOCIMIENTOS DE PRÁCTICAS DE TRANSPARENCIA PROACTIVA 2022 A DIVERSOS SUJETOS OBLIGADOS DEL ESTADO DE OAXACA.</w:t>
      </w:r>
    </w:p>
    <w:p w14:paraId="720C908D" w14:textId="77777777" w:rsidR="0034785A" w:rsidRPr="0034785A" w:rsidRDefault="0034785A" w:rsidP="0034785A">
      <w:pPr>
        <w:spacing w:line="276" w:lineRule="auto"/>
        <w:jc w:val="both"/>
        <w:rPr>
          <w:rFonts w:ascii="Arial" w:eastAsia="Arial Unicode MS" w:hAnsi="Arial" w:cs="Arial"/>
          <w:b/>
          <w:lang w:eastAsia="es-ES"/>
        </w:rPr>
      </w:pPr>
    </w:p>
    <w:p w14:paraId="6712624A" w14:textId="50869840" w:rsidR="0034785A" w:rsidRPr="0034785A" w:rsidRDefault="0034785A" w:rsidP="0034785A">
      <w:pPr>
        <w:spacing w:line="360" w:lineRule="auto"/>
        <w:jc w:val="both"/>
        <w:rPr>
          <w:rFonts w:ascii="Arial" w:eastAsia="Arial Unicode MS" w:hAnsi="Arial" w:cs="Arial"/>
        </w:rPr>
      </w:pPr>
      <w:r w:rsidRPr="0034785A">
        <w:rPr>
          <w:rFonts w:ascii="Arial" w:eastAsia="Arial Unicode MS" w:hAnsi="Arial" w:cs="Arial"/>
        </w:rPr>
        <w:t xml:space="preserve">Con fundamento en lo dispuesto en los artículos 6º, Apartado A, fracción VIII de la </w:t>
      </w:r>
      <w:r w:rsidR="003E28AA" w:rsidRPr="0034785A">
        <w:rPr>
          <w:rFonts w:ascii="Arial" w:eastAsia="Arial Unicode MS" w:hAnsi="Arial" w:cs="Arial"/>
        </w:rPr>
        <w:t>Constitución</w:t>
      </w:r>
      <w:r w:rsidRPr="0034785A">
        <w:rPr>
          <w:rFonts w:ascii="Arial" w:eastAsia="Arial Unicode MS" w:hAnsi="Arial" w:cs="Arial"/>
        </w:rPr>
        <w:t xml:space="preserve"> </w:t>
      </w:r>
      <w:r w:rsidR="003E28AA" w:rsidRPr="0034785A">
        <w:rPr>
          <w:rFonts w:ascii="Arial" w:eastAsia="Arial Unicode MS" w:hAnsi="Arial" w:cs="Arial"/>
        </w:rPr>
        <w:t>Política</w:t>
      </w:r>
      <w:r w:rsidRPr="0034785A">
        <w:rPr>
          <w:rFonts w:ascii="Arial" w:eastAsia="Arial Unicode MS" w:hAnsi="Arial" w:cs="Arial"/>
        </w:rPr>
        <w:t xml:space="preserve"> de los Estados Unidos Mexicanos, 114 apartado C de la Constitución Política del Estado Libre y Soberano de Oaxaca, 37 y 42 de la Ley General de Transparencia y Acceso a la Información Pública, 93 fracción II incisos b) y e) y fracción III inciso g) de la Ley de Transparencia, Acceso a la Información Pública y Buen Gobierno del Estado de Oaxaca; se emite el presente acuerdo, tomando en cuenta los siguientes:</w:t>
      </w:r>
    </w:p>
    <w:p w14:paraId="47518E78" w14:textId="77777777" w:rsidR="0034785A" w:rsidRPr="0034785A" w:rsidRDefault="0034785A" w:rsidP="0034785A">
      <w:pPr>
        <w:spacing w:line="276" w:lineRule="auto"/>
        <w:jc w:val="both"/>
        <w:rPr>
          <w:rFonts w:ascii="Arial" w:eastAsia="Arial Unicode MS" w:hAnsi="Arial" w:cs="Arial"/>
          <w:b/>
          <w:lang w:eastAsia="es-ES"/>
        </w:rPr>
      </w:pPr>
    </w:p>
    <w:p w14:paraId="1ED3666A" w14:textId="77777777" w:rsidR="0034785A" w:rsidRPr="0034785A" w:rsidRDefault="0034785A" w:rsidP="0034785A">
      <w:pPr>
        <w:spacing w:line="276" w:lineRule="auto"/>
        <w:jc w:val="center"/>
        <w:rPr>
          <w:rFonts w:ascii="Arial" w:eastAsia="Arial Unicode MS" w:hAnsi="Arial" w:cs="Arial"/>
          <w:b/>
          <w:lang w:eastAsia="es-ES"/>
        </w:rPr>
      </w:pPr>
      <w:r w:rsidRPr="0034785A">
        <w:rPr>
          <w:rFonts w:ascii="Arial" w:eastAsia="Arial Unicode MS" w:hAnsi="Arial" w:cs="Arial"/>
          <w:b/>
          <w:lang w:eastAsia="es-ES"/>
        </w:rPr>
        <w:t>ANTECEDENTES</w:t>
      </w:r>
    </w:p>
    <w:p w14:paraId="2F0CBBAA" w14:textId="77777777" w:rsidR="0034785A" w:rsidRPr="0034785A" w:rsidRDefault="0034785A" w:rsidP="0034785A">
      <w:pPr>
        <w:spacing w:line="276" w:lineRule="auto"/>
        <w:jc w:val="both"/>
        <w:rPr>
          <w:rFonts w:ascii="Arial" w:eastAsia="Arial Unicode MS" w:hAnsi="Arial" w:cs="Arial"/>
          <w:lang w:eastAsia="es-ES"/>
        </w:rPr>
      </w:pPr>
    </w:p>
    <w:p w14:paraId="1688235B" w14:textId="77777777" w:rsidR="0034785A" w:rsidRPr="0034785A" w:rsidRDefault="0034785A" w:rsidP="0034785A">
      <w:pPr>
        <w:pStyle w:val="Prrafodelista"/>
        <w:spacing w:line="360" w:lineRule="auto"/>
        <w:ind w:left="0"/>
        <w:jc w:val="both"/>
        <w:rPr>
          <w:rFonts w:ascii="Arial" w:eastAsia="Arial Unicode MS" w:hAnsi="Arial" w:cs="Arial"/>
          <w:b/>
          <w:bCs/>
        </w:rPr>
      </w:pPr>
      <w:r w:rsidRPr="0034785A">
        <w:rPr>
          <w:rFonts w:ascii="Arial" w:eastAsia="Arial Unicode MS" w:hAnsi="Arial" w:cs="Arial"/>
          <w:b/>
          <w:bCs/>
        </w:rPr>
        <w:t xml:space="preserve">PRIMERO. </w:t>
      </w:r>
      <w:r w:rsidRPr="0034785A">
        <w:rPr>
          <w:rFonts w:ascii="Arial" w:eastAsia="Arial Unicode MS" w:hAnsi="Arial" w:cs="Arial"/>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p>
    <w:p w14:paraId="7FC10F2E" w14:textId="77777777" w:rsidR="0034785A" w:rsidRPr="0034785A" w:rsidRDefault="0034785A" w:rsidP="0034785A">
      <w:pPr>
        <w:pStyle w:val="Prrafodelista"/>
        <w:spacing w:line="360" w:lineRule="auto"/>
        <w:jc w:val="both"/>
        <w:rPr>
          <w:rFonts w:ascii="Arial" w:eastAsia="Arial Unicode MS" w:hAnsi="Arial" w:cs="Arial"/>
          <w:b/>
          <w:bCs/>
        </w:rPr>
      </w:pPr>
    </w:p>
    <w:p w14:paraId="2C704F99" w14:textId="77777777" w:rsidR="0034785A" w:rsidRPr="0034785A" w:rsidRDefault="0034785A" w:rsidP="0034785A">
      <w:pPr>
        <w:spacing w:line="360" w:lineRule="auto"/>
        <w:jc w:val="both"/>
        <w:rPr>
          <w:rFonts w:ascii="Arial" w:eastAsia="Arial Unicode MS" w:hAnsi="Arial" w:cs="Arial"/>
        </w:rPr>
      </w:pPr>
      <w:r w:rsidRPr="0034785A">
        <w:rPr>
          <w:rFonts w:ascii="Arial" w:eastAsia="Arial Unicode MS" w:hAnsi="Arial" w:cs="Arial"/>
          <w:b/>
          <w:bCs/>
        </w:rPr>
        <w:t xml:space="preserve">SEGUNDO. </w:t>
      </w:r>
      <w:r w:rsidRPr="0034785A">
        <w:rPr>
          <w:rFonts w:ascii="Arial" w:eastAsia="Arial Unicode MS" w:hAnsi="Arial" w:cs="Arial"/>
        </w:rPr>
        <w:t xml:space="preserve">El día cuatro de septiembre del año dos mil veintiuno, se publicó en el Periódico Oficial del Estado de Oaxaca el decreto 2582; por medio del cual se expide la Ley de Transparencia, Acceso a la Información Pública y Buen Gobierno del Estado de Oaxaca. </w:t>
      </w:r>
    </w:p>
    <w:p w14:paraId="6BAA6C08" w14:textId="77777777" w:rsidR="0034785A" w:rsidRPr="0034785A" w:rsidRDefault="0034785A" w:rsidP="0034785A">
      <w:pPr>
        <w:spacing w:line="360" w:lineRule="auto"/>
        <w:jc w:val="both"/>
        <w:rPr>
          <w:rFonts w:ascii="Arial" w:eastAsia="Arial Unicode MS" w:hAnsi="Arial" w:cs="Arial"/>
          <w:highlight w:val="yellow"/>
        </w:rPr>
      </w:pPr>
    </w:p>
    <w:p w14:paraId="03FF6BBE" w14:textId="77777777" w:rsidR="0034785A" w:rsidRPr="0034785A" w:rsidRDefault="0034785A" w:rsidP="0034785A">
      <w:pPr>
        <w:spacing w:line="360" w:lineRule="auto"/>
        <w:jc w:val="both"/>
        <w:rPr>
          <w:rFonts w:ascii="Arial" w:eastAsia="Arial Unicode MS" w:hAnsi="Arial" w:cs="Arial"/>
          <w:b/>
          <w:bCs/>
        </w:rPr>
      </w:pPr>
      <w:r w:rsidRPr="0034785A">
        <w:rPr>
          <w:rFonts w:ascii="Arial" w:eastAsia="Arial Unicode MS" w:hAnsi="Arial" w:cs="Arial"/>
          <w:b/>
          <w:bCs/>
        </w:rPr>
        <w:t xml:space="preserve">TERCERO. </w:t>
      </w:r>
      <w:r w:rsidRPr="0034785A">
        <w:rPr>
          <w:rFonts w:ascii="Arial" w:eastAsia="Arial Unicode MS" w:hAnsi="Arial" w:cs="Arial"/>
        </w:rPr>
        <w:t>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Pr="0034785A">
        <w:rPr>
          <w:rFonts w:ascii="Arial" w:eastAsia="Arial Unicode MS" w:hAnsi="Arial" w:cs="Arial"/>
          <w:b/>
          <w:bCs/>
        </w:rPr>
        <w:t>.</w:t>
      </w:r>
    </w:p>
    <w:p w14:paraId="78D4FCCF" w14:textId="77777777" w:rsidR="0034785A" w:rsidRPr="0034785A" w:rsidRDefault="0034785A" w:rsidP="0034785A">
      <w:pPr>
        <w:spacing w:line="360" w:lineRule="auto"/>
        <w:jc w:val="both"/>
        <w:rPr>
          <w:rFonts w:ascii="Arial" w:eastAsia="Arial Unicode MS" w:hAnsi="Arial" w:cs="Arial"/>
          <w:b/>
          <w:bCs/>
        </w:rPr>
      </w:pPr>
    </w:p>
    <w:p w14:paraId="1DF39886" w14:textId="77777777" w:rsidR="0034785A" w:rsidRPr="0034785A" w:rsidRDefault="0034785A" w:rsidP="0034785A">
      <w:pPr>
        <w:pStyle w:val="Prrafodelista"/>
        <w:spacing w:line="360" w:lineRule="auto"/>
        <w:ind w:left="0"/>
        <w:jc w:val="both"/>
        <w:rPr>
          <w:rFonts w:ascii="Arial" w:hAnsi="Arial" w:cs="Arial"/>
        </w:rPr>
      </w:pPr>
      <w:r w:rsidRPr="0034785A">
        <w:rPr>
          <w:rFonts w:ascii="Arial" w:eastAsia="Arial Unicode MS" w:hAnsi="Arial" w:cs="Arial"/>
          <w:b/>
          <w:bCs/>
        </w:rPr>
        <w:t xml:space="preserve">CUARTO. </w:t>
      </w:r>
      <w:r w:rsidRPr="0034785A">
        <w:rPr>
          <w:rFonts w:ascii="Arial" w:eastAsia="Arial Unicode MS" w:hAnsi="Arial" w:cs="Arial"/>
        </w:rPr>
        <w:t xml:space="preserve">El día veintisiete de octubre del año dos mil veintiuno, en Sesión Solemne el Órgano Garante de Acceso a la Información Pública, Transparencia, Protección de Datos Personales y Buen Gobierno del Estado de Oaxaca, inició sus funciones </w:t>
      </w:r>
      <w:r w:rsidRPr="0034785A">
        <w:rPr>
          <w:rFonts w:ascii="Arial" w:eastAsia="Arial Unicode MS" w:hAnsi="Arial" w:cs="Arial"/>
        </w:rPr>
        <w:lastRenderedPageBreak/>
        <w:t>legales, en dicho acto protocolario las Comisionadas y los Comisionados nombraron al C</w:t>
      </w:r>
      <w:r w:rsidRPr="0034785A">
        <w:rPr>
          <w:rFonts w:ascii="Arial" w:eastAsia="MS Mincho" w:hAnsi="Arial" w:cs="Arial"/>
          <w:lang w:val="es-ES" w:eastAsia="es-ES"/>
        </w:rPr>
        <w:t xml:space="preserve">. José Luis Echeverría Morales como Comisionado </w:t>
      </w:r>
      <w:proofErr w:type="gramStart"/>
      <w:r w:rsidRPr="0034785A">
        <w:rPr>
          <w:rFonts w:ascii="Arial" w:eastAsia="MS Mincho" w:hAnsi="Arial" w:cs="Arial"/>
          <w:lang w:val="es-ES" w:eastAsia="es-ES"/>
        </w:rPr>
        <w:t>Presidente</w:t>
      </w:r>
      <w:proofErr w:type="gramEnd"/>
      <w:r w:rsidRPr="0034785A">
        <w:rPr>
          <w:rFonts w:ascii="Arial" w:eastAsia="MS Mincho" w:hAnsi="Arial" w:cs="Arial"/>
          <w:lang w:val="es-ES" w:eastAsia="es-ES"/>
        </w:rPr>
        <w:t xml:space="preserve"> de este Órgano Garante</w:t>
      </w:r>
      <w:r w:rsidRPr="0034785A">
        <w:rPr>
          <w:rFonts w:ascii="Arial" w:hAnsi="Arial" w:cs="Arial"/>
        </w:rPr>
        <w:t>.</w:t>
      </w:r>
    </w:p>
    <w:p w14:paraId="252F01F5" w14:textId="77777777" w:rsidR="0034785A" w:rsidRPr="0034785A" w:rsidRDefault="0034785A" w:rsidP="0034785A">
      <w:pPr>
        <w:spacing w:line="276" w:lineRule="auto"/>
        <w:jc w:val="both"/>
        <w:rPr>
          <w:rFonts w:ascii="Arial" w:eastAsia="Arial Unicode MS" w:hAnsi="Arial" w:cs="Arial"/>
          <w:lang w:val="es-ES_tradnl" w:eastAsia="es-ES"/>
        </w:rPr>
      </w:pPr>
    </w:p>
    <w:p w14:paraId="176ACD1A" w14:textId="77777777" w:rsidR="0034785A" w:rsidRPr="0034785A" w:rsidRDefault="0034785A" w:rsidP="0034785A">
      <w:pPr>
        <w:spacing w:line="360" w:lineRule="auto"/>
        <w:jc w:val="both"/>
        <w:rPr>
          <w:rFonts w:ascii="Arial" w:eastAsia="Arial Unicode MS" w:hAnsi="Arial" w:cs="Arial"/>
        </w:rPr>
      </w:pPr>
      <w:r w:rsidRPr="0034785A">
        <w:rPr>
          <w:rFonts w:ascii="Arial" w:eastAsia="Arial Unicode MS" w:hAnsi="Arial" w:cs="Arial"/>
        </w:rPr>
        <w:t>En virtud de lo anterior, se toman en cuenta los siguientes:</w:t>
      </w:r>
    </w:p>
    <w:p w14:paraId="774B21A7" w14:textId="77777777" w:rsidR="0034785A" w:rsidRPr="0034785A" w:rsidRDefault="0034785A" w:rsidP="0034785A">
      <w:pPr>
        <w:spacing w:line="360" w:lineRule="auto"/>
        <w:jc w:val="both"/>
        <w:rPr>
          <w:rFonts w:ascii="Arial" w:eastAsia="Arial Unicode MS" w:hAnsi="Arial" w:cs="Arial"/>
        </w:rPr>
      </w:pPr>
    </w:p>
    <w:p w14:paraId="18570140" w14:textId="77777777" w:rsidR="0034785A" w:rsidRPr="0034785A" w:rsidRDefault="0034785A" w:rsidP="0034785A">
      <w:pPr>
        <w:spacing w:line="360" w:lineRule="auto"/>
        <w:jc w:val="center"/>
        <w:rPr>
          <w:rFonts w:ascii="Arial" w:eastAsia="Arial Unicode MS" w:hAnsi="Arial" w:cs="Arial"/>
          <w:b/>
          <w:bCs/>
        </w:rPr>
      </w:pPr>
      <w:r w:rsidRPr="0034785A">
        <w:rPr>
          <w:rFonts w:ascii="Arial" w:eastAsia="Arial Unicode MS" w:hAnsi="Arial" w:cs="Arial"/>
          <w:b/>
          <w:bCs/>
        </w:rPr>
        <w:t>CONSIDERANDOS</w:t>
      </w:r>
    </w:p>
    <w:p w14:paraId="5CD7B835" w14:textId="77777777" w:rsidR="0034785A" w:rsidRPr="0034785A" w:rsidRDefault="0034785A" w:rsidP="0034785A">
      <w:pPr>
        <w:spacing w:line="276" w:lineRule="auto"/>
        <w:jc w:val="both"/>
        <w:rPr>
          <w:rFonts w:ascii="Arial" w:eastAsia="Arial Unicode MS" w:hAnsi="Arial" w:cs="Arial"/>
          <w:lang w:eastAsia="es-ES"/>
        </w:rPr>
      </w:pPr>
    </w:p>
    <w:p w14:paraId="5AC2BFCA" w14:textId="726B5B6A"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Que el artículo 70, fracción XLVIII, de la Ley General de Transparencia y Acceso a la Información Pública, establece la obligación de los Sujetos obligados de poner a disposición y mantener actualizada cualquier otra información que sea de utilidad o se considere relevante, además de la que, con base en la información estadística, responda a las preguntas hechas con más frecuencia por el público.</w:t>
      </w:r>
    </w:p>
    <w:p w14:paraId="7C448FDB" w14:textId="77777777" w:rsidR="0034785A" w:rsidRPr="0034785A" w:rsidRDefault="0034785A" w:rsidP="0034785A">
      <w:pPr>
        <w:spacing w:line="360" w:lineRule="auto"/>
        <w:jc w:val="both"/>
        <w:rPr>
          <w:rFonts w:ascii="Arial" w:eastAsia="Arial Unicode MS" w:hAnsi="Arial" w:cs="Arial"/>
        </w:rPr>
      </w:pPr>
    </w:p>
    <w:p w14:paraId="6D4FBED7" w14:textId="1B9EE367"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Que el artículo 58 de la Ley General señala que el Sistema Nacional emitirá los criterios para evaluar la efectividad de la política de la transparencia proactiva, considerando como base, la reutilización que la sociedad haga a la información.</w:t>
      </w:r>
    </w:p>
    <w:p w14:paraId="275928BB" w14:textId="77777777" w:rsidR="0034785A" w:rsidRPr="0034785A" w:rsidRDefault="0034785A" w:rsidP="0034785A">
      <w:pPr>
        <w:spacing w:line="276" w:lineRule="auto"/>
        <w:jc w:val="both"/>
        <w:rPr>
          <w:rFonts w:ascii="Arial" w:eastAsia="Arial Unicode MS" w:hAnsi="Arial" w:cs="Arial"/>
        </w:rPr>
      </w:pPr>
    </w:p>
    <w:p w14:paraId="227C53B2" w14:textId="39869D7E"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Que el vigésimo noveno de los Lineamientos para determinar los catálogos y publicación de Información de Interés Público; y para la emisión y evaluación de Políticas de Transparencia Proactiva establece que el Instituto Nacional y los organismos garantes promoverán el reconocimiento de las acciones de transparencia proactiva que los sujetos obligados hayan realizado.</w:t>
      </w:r>
    </w:p>
    <w:p w14:paraId="16A38B44" w14:textId="77777777" w:rsidR="0034785A" w:rsidRPr="0034785A" w:rsidRDefault="0034785A" w:rsidP="0034785A">
      <w:pPr>
        <w:spacing w:line="276" w:lineRule="auto"/>
        <w:jc w:val="both"/>
        <w:rPr>
          <w:rFonts w:ascii="Arial" w:eastAsia="Arial Unicode MS" w:hAnsi="Arial" w:cs="Arial"/>
        </w:rPr>
      </w:pPr>
    </w:p>
    <w:p w14:paraId="1B225AA4" w14:textId="7C54B1A7"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Que el trigésimo y trigésimo primero de los Lineamientos para determinar los catálogos y publicación de Información de Interés Público; y para la emisión y evaluación de Políticas de Transparencia Proactiva establecen el procedimiento de evaluación al que serán sometidas los Sujetos obligados que soliciten el Reconocimiento de acciones de transparencia proactiva.</w:t>
      </w:r>
    </w:p>
    <w:p w14:paraId="0FFBFC21" w14:textId="77777777" w:rsidR="0034785A" w:rsidRPr="0034785A" w:rsidRDefault="0034785A" w:rsidP="0034785A">
      <w:pPr>
        <w:spacing w:line="360" w:lineRule="auto"/>
        <w:jc w:val="both"/>
        <w:rPr>
          <w:rFonts w:ascii="Arial" w:eastAsia="Arial Unicode MS" w:hAnsi="Arial" w:cs="Arial"/>
        </w:rPr>
      </w:pPr>
    </w:p>
    <w:p w14:paraId="51043A74" w14:textId="58304D6D"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Que el artículo quinto fracción XXXVI, del Reglamento Interno del Órgano Garante de Acceso a la Información Pública, Transparencia, Protección De Datos Personales y Buen Gobierno del Estado de Oaxaca, establece que es facultad del Consejo General del Órgano Garante emitir el reconocimiento de las acciones de transparencia proactiva que hayan realizado los sujetos obligados. </w:t>
      </w:r>
    </w:p>
    <w:p w14:paraId="2A436463" w14:textId="7CA3A1A6" w:rsidR="0034785A" w:rsidRPr="0034785A" w:rsidRDefault="0034785A" w:rsidP="00C57B22">
      <w:pPr>
        <w:spacing w:line="360" w:lineRule="auto"/>
        <w:ind w:firstLine="700"/>
        <w:jc w:val="both"/>
        <w:rPr>
          <w:rFonts w:ascii="Arial" w:eastAsia="Arial Unicode MS" w:hAnsi="Arial" w:cs="Arial"/>
        </w:rPr>
      </w:pPr>
    </w:p>
    <w:p w14:paraId="766EE12F" w14:textId="50172EE1"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Que el 1 de junio de 2022 se emitió la convocatoria para el reconocimiento de prácticas de Transparencia Proactiva 2022, a todos los Sujetos Obligados </w:t>
      </w:r>
      <w:r w:rsidRPr="00C57B22">
        <w:rPr>
          <w:rFonts w:ascii="Arial" w:eastAsia="Arial Unicode MS" w:hAnsi="Arial" w:cs="Arial"/>
        </w:rPr>
        <w:lastRenderedPageBreak/>
        <w:t>del Estado de Oaxaca interesados en participar, requiriendo remitieran, a este Organismo Garante, su solicitud mediante escrito libre, acompañado del formulario adjunto a la convocatoria y soportes documentales de la práctica sometida a evaluación a más tardar el 31 de julio del 2022.</w:t>
      </w:r>
    </w:p>
    <w:p w14:paraId="16C1C342" w14:textId="77777777" w:rsidR="0034785A" w:rsidRPr="0034785A" w:rsidRDefault="0034785A" w:rsidP="0034785A">
      <w:pPr>
        <w:spacing w:line="360" w:lineRule="auto"/>
        <w:jc w:val="both"/>
        <w:rPr>
          <w:rFonts w:ascii="Arial" w:eastAsia="Arial Unicode MS" w:hAnsi="Arial" w:cs="Arial"/>
        </w:rPr>
      </w:pPr>
    </w:p>
    <w:p w14:paraId="226C8622" w14:textId="60276586"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Que mediante oficio SCTG/SCST/135/2022 de fecha 14 de julio de 2022 suscrito por el Director de Transparencia y Encargado del Despacho de la Subsecretaría de Controlaría Social y Transparencia, C. José Manuel </w:t>
      </w:r>
      <w:r w:rsidR="003E28AA" w:rsidRPr="00C57B22">
        <w:rPr>
          <w:rFonts w:ascii="Arial" w:eastAsia="Arial Unicode MS" w:hAnsi="Arial" w:cs="Arial"/>
        </w:rPr>
        <w:t>Méndez</w:t>
      </w:r>
      <w:r w:rsidRPr="00C57B22">
        <w:rPr>
          <w:rFonts w:ascii="Arial" w:eastAsia="Arial Unicode MS" w:hAnsi="Arial" w:cs="Arial"/>
        </w:rPr>
        <w:t xml:space="preserve"> </w:t>
      </w:r>
      <w:proofErr w:type="spellStart"/>
      <w:r w:rsidRPr="00C57B22">
        <w:rPr>
          <w:rFonts w:ascii="Arial" w:eastAsia="Arial Unicode MS" w:hAnsi="Arial" w:cs="Arial"/>
        </w:rPr>
        <w:t>Spíndola</w:t>
      </w:r>
      <w:proofErr w:type="spellEnd"/>
      <w:r w:rsidRPr="00C57B22">
        <w:rPr>
          <w:rFonts w:ascii="Arial" w:eastAsia="Arial Unicode MS" w:hAnsi="Arial" w:cs="Arial"/>
        </w:rPr>
        <w:t xml:space="preserve">; y recibido en la Dirección de Gobierno Abierto del Órgano Garante el </w:t>
      </w:r>
      <w:r w:rsidR="003E28AA" w:rsidRPr="00C57B22">
        <w:rPr>
          <w:rFonts w:ascii="Arial" w:eastAsia="Arial Unicode MS" w:hAnsi="Arial" w:cs="Arial"/>
        </w:rPr>
        <w:t>día</w:t>
      </w:r>
      <w:r w:rsidRPr="00C57B22">
        <w:rPr>
          <w:rFonts w:ascii="Arial" w:eastAsia="Arial Unicode MS" w:hAnsi="Arial" w:cs="Arial"/>
        </w:rPr>
        <w:t xml:space="preserve"> 15 de julio de 2022, se hizo del conocimiento del mismo la Intención del Sujeto obligado de participar en la “Convocatoria para el reconocimiento de prácticas de Transparencia Proactiva” con la práctica denominada “Inclusión Infantil en Transparencia”. A la vez que se adjuntaba la documentación probatoria necesaria. </w:t>
      </w:r>
    </w:p>
    <w:p w14:paraId="386280F2" w14:textId="77777777" w:rsidR="0034785A" w:rsidRPr="0034785A" w:rsidRDefault="0034785A" w:rsidP="0034785A">
      <w:pPr>
        <w:spacing w:line="360" w:lineRule="auto"/>
        <w:jc w:val="both"/>
        <w:rPr>
          <w:rFonts w:ascii="Arial" w:eastAsia="Arial Unicode MS" w:hAnsi="Arial" w:cs="Arial"/>
        </w:rPr>
      </w:pPr>
    </w:p>
    <w:p w14:paraId="35F99F67" w14:textId="38158F69"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Que mediante oficio COPEVAL/CG/075/2022 de fecha 15 de julio de 2022 suscrito por la Coordinadora General de la</w:t>
      </w:r>
      <w:r w:rsidRPr="00C57B22">
        <w:rPr>
          <w:rFonts w:ascii="Arial" w:hAnsi="Arial" w:cs="Arial"/>
        </w:rPr>
        <w:t xml:space="preserve"> Coordinación de  Planeación y Evaluación para el Desarrollo Social de Oaxaca</w:t>
      </w:r>
      <w:r w:rsidRPr="00C57B22">
        <w:rPr>
          <w:rFonts w:ascii="Arial" w:eastAsia="Arial Unicode MS" w:hAnsi="Arial" w:cs="Arial"/>
        </w:rPr>
        <w:t xml:space="preserve">, C. Marina de los Ángeles Sánchez </w:t>
      </w:r>
      <w:proofErr w:type="spellStart"/>
      <w:r w:rsidRPr="00C57B22">
        <w:rPr>
          <w:rFonts w:ascii="Arial" w:eastAsia="Arial Unicode MS" w:hAnsi="Arial" w:cs="Arial"/>
        </w:rPr>
        <w:t>Lavariega</w:t>
      </w:r>
      <w:proofErr w:type="spellEnd"/>
      <w:r w:rsidRPr="00C57B22">
        <w:rPr>
          <w:rFonts w:ascii="Arial" w:eastAsia="Arial Unicode MS" w:hAnsi="Arial" w:cs="Arial"/>
        </w:rPr>
        <w:t xml:space="preserve">; y recibido en la Dirección de Gobierno Abierto del Órgano Garante el 26 de julio de 2022, se hizo del conocimiento del mismo la intención del Sujeto obligado de participar en la “Convocatoria para el reconocimiento de prácticas de Transparencia Proactiva” con la práctica denominada “Aplicación INCIDE (App de Información Ciudadana para el Desarrollo Social”. A la vez que se adjuntaba la documentación probatoria necesaria. </w:t>
      </w:r>
    </w:p>
    <w:p w14:paraId="446503F1" w14:textId="77777777" w:rsidR="0034785A" w:rsidRPr="0034785A" w:rsidRDefault="0034785A" w:rsidP="0034785A">
      <w:pPr>
        <w:spacing w:line="360" w:lineRule="auto"/>
        <w:jc w:val="both"/>
        <w:rPr>
          <w:rFonts w:ascii="Arial" w:eastAsia="Arial Unicode MS" w:hAnsi="Arial" w:cs="Arial"/>
        </w:rPr>
      </w:pPr>
    </w:p>
    <w:p w14:paraId="72550000" w14:textId="2E2B773A"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Que mediante oficio FGEO/DAJ/U.T./927/2022 de fecha 18 de julio de 2022 suscrito por el Director de Asuntos Jurídicos y Responsable de la Unidad de Transparencia de la Fiscalía General del Estado de Oaxaca, C. Jaime Alejandro Velázquez Martínez; y recibido en la Dirección de Gobierno Abierto del Órgano Garante el 31 de julio, se hizo del conocimiento del mismo la intención del Sujeto obligado de participar en la “Convocatoria para el reconocimiento de prácticas de Transparencia Proactiva” con la práctica denominada “Aplicación móvil FGEO contigo – Denuncia en línea”. A la vez que se adjuntaba la documentación probatoria necesaria. </w:t>
      </w:r>
    </w:p>
    <w:p w14:paraId="41EDFCD5" w14:textId="77777777" w:rsidR="0034785A" w:rsidRPr="0034785A" w:rsidRDefault="0034785A" w:rsidP="0034785A">
      <w:pPr>
        <w:spacing w:line="360" w:lineRule="auto"/>
        <w:jc w:val="both"/>
        <w:rPr>
          <w:rFonts w:ascii="Arial" w:eastAsia="Arial Unicode MS" w:hAnsi="Arial" w:cs="Arial"/>
          <w:b/>
          <w:bCs/>
        </w:rPr>
      </w:pPr>
    </w:p>
    <w:p w14:paraId="62094288" w14:textId="7E906316"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Que mediante oficio UT/1289/2022 de fecha 29 de julio de 2022 suscrito por la Titular de la Unidad de Transparencia del H. Ayuntamiento de Oaxaca de Juárez, C. Keyla Matus Meléndez; y recibido en la Dirección de Gobierno Abierto del Órgano Garante el </w:t>
      </w:r>
      <w:r w:rsidR="003E28AA" w:rsidRPr="00C57B22">
        <w:rPr>
          <w:rFonts w:ascii="Arial" w:eastAsia="Arial Unicode MS" w:hAnsi="Arial" w:cs="Arial"/>
        </w:rPr>
        <w:t>día</w:t>
      </w:r>
      <w:r w:rsidRPr="00C57B22">
        <w:rPr>
          <w:rFonts w:ascii="Arial" w:eastAsia="Arial Unicode MS" w:hAnsi="Arial" w:cs="Arial"/>
        </w:rPr>
        <w:t xml:space="preserve"> 1 de agosto de 2022, se hizo del conocimiento del mismo la Intención del Sujeto obligado de participar en la </w:t>
      </w:r>
      <w:r w:rsidRPr="00C57B22">
        <w:rPr>
          <w:rFonts w:ascii="Arial" w:eastAsia="Arial Unicode MS" w:hAnsi="Arial" w:cs="Arial"/>
        </w:rPr>
        <w:lastRenderedPageBreak/>
        <w:t xml:space="preserve">“Convocatoria para el reconocimiento de prácticas de Transparencia Proactiva” con la práctica denominada </w:t>
      </w:r>
      <w:bookmarkStart w:id="0" w:name="_Hlk118195140"/>
      <w:r w:rsidRPr="00C57B22">
        <w:rPr>
          <w:rFonts w:ascii="Arial" w:eastAsia="Arial Unicode MS" w:hAnsi="Arial" w:cs="Arial"/>
        </w:rPr>
        <w:t xml:space="preserve">“Transparencia Proactiva Covid-19”. </w:t>
      </w:r>
      <w:bookmarkEnd w:id="0"/>
      <w:r w:rsidRPr="00C57B22">
        <w:rPr>
          <w:rFonts w:ascii="Arial" w:eastAsia="Arial Unicode MS" w:hAnsi="Arial" w:cs="Arial"/>
        </w:rPr>
        <w:t>A la vez que se adjuntaba la documentación probatoria necesaria.</w:t>
      </w:r>
    </w:p>
    <w:p w14:paraId="184A3C5E" w14:textId="77777777" w:rsidR="0034785A" w:rsidRPr="0034785A" w:rsidRDefault="0034785A" w:rsidP="0034785A">
      <w:pPr>
        <w:spacing w:line="360" w:lineRule="auto"/>
        <w:jc w:val="both"/>
        <w:rPr>
          <w:rFonts w:ascii="Arial" w:eastAsia="Arial Unicode MS" w:hAnsi="Arial" w:cs="Arial"/>
        </w:rPr>
      </w:pPr>
    </w:p>
    <w:p w14:paraId="72FA9745" w14:textId="42F91EA5"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Que mediante oficio ST.COEPES/027/2022 de fecha 2 de agosto de 2022 suscrito por la Titular de la Unidad de Transparencia de la </w:t>
      </w:r>
      <w:r w:rsidRPr="00C57B22">
        <w:rPr>
          <w:rFonts w:ascii="Arial" w:hAnsi="Arial" w:cs="Arial"/>
        </w:rPr>
        <w:t>Comisión Estatal para la Planeación de la Educación Superior en el Estado de Oaxaca</w:t>
      </w:r>
      <w:r w:rsidRPr="00C57B22">
        <w:rPr>
          <w:rFonts w:ascii="Arial" w:eastAsia="Arial Unicode MS" w:hAnsi="Arial" w:cs="Arial"/>
        </w:rPr>
        <w:t xml:space="preserve">, C. Liliana Hernández García; y recibido en la Dirección de Gobierno Abierto del Órgano Garante el mismo día, se hizo del conocimiento del mismo la Intención del Sujeto obligado de participar en la “Convocatoria para el reconocimiento de prácticas de Transparencia Proactiva” con la práctica denominada “Folleto ¡Ya es Hora!”. A la vez que se adjuntaba la documentación probatoria necesaria. </w:t>
      </w:r>
    </w:p>
    <w:p w14:paraId="128A29F4" w14:textId="77777777" w:rsidR="0034785A" w:rsidRPr="0034785A" w:rsidRDefault="0034785A" w:rsidP="0034785A">
      <w:pPr>
        <w:spacing w:line="360" w:lineRule="auto"/>
        <w:jc w:val="both"/>
        <w:rPr>
          <w:rFonts w:ascii="Arial" w:eastAsia="Arial Unicode MS" w:hAnsi="Arial" w:cs="Arial"/>
        </w:rPr>
      </w:pPr>
    </w:p>
    <w:p w14:paraId="59784118" w14:textId="6A198877"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En el mismo sentido, la Dirección de Gobierno Abierto elaboró el respectivo formulario para la identificación, análisis y evaluación de prácticas de transparencia proactiva, relativa al </w:t>
      </w:r>
      <w:proofErr w:type="spellStart"/>
      <w:r w:rsidRPr="00C57B22">
        <w:rPr>
          <w:rFonts w:ascii="Arial" w:eastAsia="Arial Unicode MS" w:hAnsi="Arial" w:cs="Arial"/>
        </w:rPr>
        <w:t>microsito</w:t>
      </w:r>
      <w:proofErr w:type="spellEnd"/>
      <w:r w:rsidRPr="00C57B22">
        <w:rPr>
          <w:rFonts w:ascii="Arial" w:eastAsia="Arial Unicode MS" w:hAnsi="Arial" w:cs="Arial"/>
        </w:rPr>
        <w:t xml:space="preserve"> Covid-19, desarrollado por este Órgano Garante de Acceso a la Información Pública, Transparencia, Protección de Datos Personales y Buen Gobierno del Estado de Oaxaca en colaboración con el organismo público descentralizado denominado Servicios de Salud de Oaxaca.</w:t>
      </w:r>
    </w:p>
    <w:p w14:paraId="75660C2F" w14:textId="77777777" w:rsidR="0034785A" w:rsidRPr="0034785A" w:rsidRDefault="0034785A" w:rsidP="0034785A">
      <w:pPr>
        <w:spacing w:line="360" w:lineRule="auto"/>
        <w:jc w:val="both"/>
        <w:rPr>
          <w:rFonts w:ascii="Arial" w:eastAsia="Arial Unicode MS" w:hAnsi="Arial" w:cs="Arial"/>
          <w:b/>
          <w:bCs/>
        </w:rPr>
      </w:pPr>
    </w:p>
    <w:p w14:paraId="66EE5870" w14:textId="709525FA"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Que una vez concluido los plazos establecidos en la Convocatoria para el Reconocimiento de Prácticas de Transparencia Proactiva, la Dirección de Gobierno Abierto de este Órgano Garante con base en lo establecido en los numerales vigésimo octavo, trigésimo y trigésimo primero de los Lineamientos para determinar los catálogos y publicación de Información de Interés Público; y para la emisión y evaluación de Políticas de Transparencia Proactiva, sometió a un proceso de evaluación a la práctica postulada, donde se validaron los  procedimientos, la calidad de la información, de diversificación y uso de medios alternativos para la difusión de la información. Así como la contabilización de las consultas y/o reutilización de la información publicada, la participación ciudadana efectiva e informada y los efectos positivos generados a partir de la información en el marco de la política de transparencia proactiva.</w:t>
      </w:r>
    </w:p>
    <w:p w14:paraId="60C3BA25" w14:textId="77777777" w:rsidR="0034785A" w:rsidRPr="0034785A" w:rsidRDefault="0034785A" w:rsidP="0034785A">
      <w:pPr>
        <w:spacing w:line="360" w:lineRule="auto"/>
        <w:jc w:val="both"/>
        <w:rPr>
          <w:rFonts w:ascii="Arial" w:eastAsia="Arial Unicode MS" w:hAnsi="Arial" w:cs="Arial"/>
        </w:rPr>
      </w:pPr>
    </w:p>
    <w:p w14:paraId="4FC90823" w14:textId="24DEE57A" w:rsidR="0034785A" w:rsidRPr="00C57B22" w:rsidRDefault="0034785A" w:rsidP="00C57B22">
      <w:pPr>
        <w:pStyle w:val="Prrafodelista"/>
        <w:numPr>
          <w:ilvl w:val="0"/>
          <w:numId w:val="9"/>
        </w:numPr>
        <w:spacing w:line="360" w:lineRule="auto"/>
        <w:jc w:val="both"/>
        <w:rPr>
          <w:rFonts w:ascii="Arial" w:eastAsia="Arial Unicode MS" w:hAnsi="Arial" w:cs="Arial"/>
        </w:rPr>
      </w:pPr>
      <w:r w:rsidRPr="00C57B22">
        <w:rPr>
          <w:rFonts w:ascii="Arial" w:eastAsia="Arial Unicode MS" w:hAnsi="Arial" w:cs="Arial"/>
        </w:rPr>
        <w:t xml:space="preserve">Como resultado del proceso de la evaluación a la que fueron sometidas la prácticas cuyo reconocimiento fue solicitado, la Dirección de Gobierno Abierto elaboró el informe de resultados, que refiere el cumplimiento de los criterios establecidos en los Lineamientos para determinar los catálogos y publicación de Información de Interés Público; y para la emisión y evaluación </w:t>
      </w:r>
      <w:r w:rsidRPr="00C57B22">
        <w:rPr>
          <w:rFonts w:ascii="Arial" w:eastAsia="Arial Unicode MS" w:hAnsi="Arial" w:cs="Arial"/>
        </w:rPr>
        <w:lastRenderedPageBreak/>
        <w:t>de Políticas de Transparencia Proactiva, además de los hallazgos, aportaciones y áreas de oportunidad de las prácticas antes citada en materia de Transparencia Proactiva correspondiente al ejercicio dos mil veintidós y en consecuencia, se determina la aprobación del reconocimiento de prácticas de transparencia proactiva, a los sujetos obligados y las prácticas que se indican a continuación:</w:t>
      </w:r>
    </w:p>
    <w:p w14:paraId="6E4A19BA" w14:textId="77777777" w:rsidR="0034785A" w:rsidRPr="0034785A" w:rsidRDefault="0034785A" w:rsidP="0034785A">
      <w:pPr>
        <w:spacing w:line="360" w:lineRule="auto"/>
        <w:jc w:val="both"/>
        <w:rPr>
          <w:rFonts w:ascii="Arial" w:eastAsia="Arial Unicode MS" w:hAnsi="Arial" w:cs="Arial"/>
        </w:rPr>
      </w:pPr>
    </w:p>
    <w:p w14:paraId="2BC9EDCE" w14:textId="77777777" w:rsidR="0034785A" w:rsidRPr="0034785A" w:rsidRDefault="0034785A" w:rsidP="0034785A">
      <w:pPr>
        <w:pStyle w:val="Prrafodelista"/>
        <w:numPr>
          <w:ilvl w:val="0"/>
          <w:numId w:val="7"/>
        </w:numPr>
        <w:spacing w:line="360" w:lineRule="auto"/>
        <w:jc w:val="both"/>
        <w:rPr>
          <w:rFonts w:ascii="Arial" w:eastAsia="Arial Unicode MS" w:hAnsi="Arial" w:cs="Arial"/>
          <w:i/>
          <w:iCs/>
        </w:rPr>
      </w:pPr>
      <w:r w:rsidRPr="0034785A">
        <w:rPr>
          <w:rFonts w:ascii="Arial" w:eastAsia="Arial Unicode MS" w:hAnsi="Arial" w:cs="Arial"/>
        </w:rPr>
        <w:t xml:space="preserve">Secretaría de la Contraloría y Transparencia Gubernamental, por la práctica denominada </w:t>
      </w:r>
      <w:r w:rsidRPr="0034785A">
        <w:rPr>
          <w:rFonts w:ascii="Arial" w:eastAsia="Arial Unicode MS" w:hAnsi="Arial" w:cs="Arial"/>
          <w:i/>
          <w:iCs/>
        </w:rPr>
        <w:t>“Inclusión Infantil en Transparencia”.</w:t>
      </w:r>
    </w:p>
    <w:p w14:paraId="7CB4CDC6" w14:textId="77777777" w:rsidR="0034785A" w:rsidRPr="0034785A" w:rsidRDefault="0034785A" w:rsidP="0034785A">
      <w:pPr>
        <w:spacing w:line="360" w:lineRule="auto"/>
        <w:jc w:val="both"/>
        <w:rPr>
          <w:rFonts w:ascii="Arial" w:hAnsi="Arial" w:cs="Arial"/>
        </w:rPr>
      </w:pPr>
    </w:p>
    <w:p w14:paraId="3F47323F" w14:textId="53F2CF4F" w:rsidR="0034785A" w:rsidRPr="0034785A" w:rsidRDefault="0034785A" w:rsidP="0034785A">
      <w:pPr>
        <w:pStyle w:val="Prrafodelista"/>
        <w:numPr>
          <w:ilvl w:val="0"/>
          <w:numId w:val="7"/>
        </w:numPr>
        <w:spacing w:line="360" w:lineRule="auto"/>
        <w:jc w:val="both"/>
        <w:rPr>
          <w:rFonts w:ascii="Arial" w:eastAsia="Arial Unicode MS" w:hAnsi="Arial" w:cs="Arial"/>
        </w:rPr>
      </w:pPr>
      <w:r w:rsidRPr="0034785A">
        <w:rPr>
          <w:rFonts w:ascii="Arial" w:hAnsi="Arial" w:cs="Arial"/>
        </w:rPr>
        <w:t xml:space="preserve">Coordinación de Planeación y Evaluación para el Desarrollo Social de Oaxaca, por la práctica denominada </w:t>
      </w:r>
      <w:r w:rsidRPr="0034785A">
        <w:rPr>
          <w:rFonts w:ascii="Arial" w:eastAsia="Arial Unicode MS" w:hAnsi="Arial" w:cs="Arial"/>
          <w:i/>
          <w:iCs/>
        </w:rPr>
        <w:t>“Aplicación INCIDE (App de Información Ciudadana para el Desarrollo Social”.</w:t>
      </w:r>
    </w:p>
    <w:p w14:paraId="295F648B" w14:textId="77777777" w:rsidR="0034785A" w:rsidRPr="0034785A" w:rsidRDefault="0034785A" w:rsidP="0034785A">
      <w:pPr>
        <w:spacing w:line="360" w:lineRule="auto"/>
        <w:jc w:val="both"/>
        <w:rPr>
          <w:rFonts w:ascii="Arial" w:eastAsia="Arial Unicode MS" w:hAnsi="Arial" w:cs="Arial"/>
        </w:rPr>
      </w:pPr>
    </w:p>
    <w:p w14:paraId="4BA0F12D" w14:textId="77777777" w:rsidR="0034785A" w:rsidRPr="0034785A" w:rsidRDefault="0034785A" w:rsidP="0034785A">
      <w:pPr>
        <w:pStyle w:val="Prrafodelista"/>
        <w:numPr>
          <w:ilvl w:val="0"/>
          <w:numId w:val="7"/>
        </w:numPr>
        <w:spacing w:line="360" w:lineRule="auto"/>
        <w:jc w:val="both"/>
        <w:rPr>
          <w:rFonts w:ascii="Arial" w:eastAsia="Arial Unicode MS" w:hAnsi="Arial" w:cs="Arial"/>
          <w:i/>
          <w:iCs/>
        </w:rPr>
      </w:pPr>
      <w:r w:rsidRPr="0034785A">
        <w:rPr>
          <w:rFonts w:ascii="Arial" w:eastAsia="Arial Unicode MS" w:hAnsi="Arial" w:cs="Arial"/>
        </w:rPr>
        <w:t xml:space="preserve">Fiscalía General del Estado de Oaxaca, por la práctica denominada </w:t>
      </w:r>
      <w:r w:rsidRPr="0034785A">
        <w:rPr>
          <w:rFonts w:ascii="Arial" w:eastAsia="Arial Unicode MS" w:hAnsi="Arial" w:cs="Arial"/>
          <w:i/>
          <w:iCs/>
        </w:rPr>
        <w:t>“Aplicación móvil FGEO contigo – Denuncia en línea”.</w:t>
      </w:r>
    </w:p>
    <w:p w14:paraId="78512C87" w14:textId="77777777" w:rsidR="0034785A" w:rsidRPr="0034785A" w:rsidRDefault="0034785A" w:rsidP="0034785A">
      <w:pPr>
        <w:spacing w:line="360" w:lineRule="auto"/>
        <w:jc w:val="both"/>
        <w:rPr>
          <w:rFonts w:ascii="Arial" w:eastAsia="Arial Unicode MS" w:hAnsi="Arial" w:cs="Arial"/>
        </w:rPr>
      </w:pPr>
    </w:p>
    <w:p w14:paraId="5D26276F" w14:textId="77777777" w:rsidR="0034785A" w:rsidRPr="0034785A" w:rsidRDefault="0034785A" w:rsidP="0034785A">
      <w:pPr>
        <w:pStyle w:val="Prrafodelista"/>
        <w:numPr>
          <w:ilvl w:val="0"/>
          <w:numId w:val="7"/>
        </w:numPr>
        <w:spacing w:line="360" w:lineRule="auto"/>
        <w:jc w:val="both"/>
        <w:rPr>
          <w:rFonts w:ascii="Arial" w:eastAsia="Arial Unicode MS" w:hAnsi="Arial" w:cs="Arial"/>
          <w:i/>
          <w:iCs/>
        </w:rPr>
      </w:pPr>
      <w:r w:rsidRPr="0034785A">
        <w:rPr>
          <w:rFonts w:ascii="Arial" w:eastAsia="Arial Unicode MS" w:hAnsi="Arial" w:cs="Arial"/>
        </w:rPr>
        <w:t xml:space="preserve">H. Ayuntamiento de Oaxaca de Juárez, por la práctica denominada </w:t>
      </w:r>
      <w:r w:rsidRPr="0034785A">
        <w:rPr>
          <w:rFonts w:ascii="Arial" w:eastAsia="Arial Unicode MS" w:hAnsi="Arial" w:cs="Arial"/>
          <w:i/>
          <w:iCs/>
        </w:rPr>
        <w:t>“Transparencia Proactiva Covid-19”.</w:t>
      </w:r>
    </w:p>
    <w:p w14:paraId="1BC3B8D9" w14:textId="77777777" w:rsidR="0034785A" w:rsidRPr="0034785A" w:rsidRDefault="0034785A" w:rsidP="0034785A">
      <w:pPr>
        <w:spacing w:line="360" w:lineRule="auto"/>
        <w:jc w:val="both"/>
        <w:rPr>
          <w:rFonts w:ascii="Arial" w:eastAsia="Arial Unicode MS" w:hAnsi="Arial" w:cs="Arial"/>
          <w:i/>
          <w:iCs/>
        </w:rPr>
      </w:pPr>
    </w:p>
    <w:p w14:paraId="3E972969" w14:textId="77777777" w:rsidR="0034785A" w:rsidRPr="0034785A" w:rsidRDefault="0034785A" w:rsidP="0034785A">
      <w:pPr>
        <w:pStyle w:val="Prrafodelista"/>
        <w:numPr>
          <w:ilvl w:val="0"/>
          <w:numId w:val="7"/>
        </w:numPr>
        <w:spacing w:line="360" w:lineRule="auto"/>
        <w:jc w:val="both"/>
        <w:rPr>
          <w:rFonts w:ascii="Arial" w:eastAsia="Arial Unicode MS" w:hAnsi="Arial" w:cs="Arial"/>
          <w:i/>
          <w:iCs/>
        </w:rPr>
      </w:pPr>
      <w:r w:rsidRPr="0034785A">
        <w:rPr>
          <w:rFonts w:ascii="Arial" w:hAnsi="Arial" w:cs="Arial"/>
        </w:rPr>
        <w:t>Comisión Estatal para la Planeación de la Educación Superior en el Estado de Oaxaca, por la práctica denominada</w:t>
      </w:r>
      <w:r w:rsidRPr="0034785A">
        <w:rPr>
          <w:rFonts w:ascii="Arial" w:eastAsia="Arial Unicode MS" w:hAnsi="Arial" w:cs="Arial"/>
          <w:i/>
          <w:iCs/>
        </w:rPr>
        <w:t xml:space="preserve"> “Folleto ¡Ya es hora!”, y</w:t>
      </w:r>
    </w:p>
    <w:p w14:paraId="481C6D0C" w14:textId="77777777" w:rsidR="0034785A" w:rsidRPr="0034785A" w:rsidRDefault="0034785A" w:rsidP="0034785A">
      <w:pPr>
        <w:spacing w:line="360" w:lineRule="auto"/>
        <w:jc w:val="both"/>
        <w:rPr>
          <w:rFonts w:ascii="Arial" w:eastAsia="Arial Unicode MS" w:hAnsi="Arial" w:cs="Arial"/>
          <w:i/>
          <w:iCs/>
        </w:rPr>
      </w:pPr>
    </w:p>
    <w:p w14:paraId="05903F47" w14:textId="77777777" w:rsidR="0034785A" w:rsidRPr="0034785A" w:rsidRDefault="0034785A" w:rsidP="0034785A">
      <w:pPr>
        <w:pStyle w:val="Prrafodelista"/>
        <w:numPr>
          <w:ilvl w:val="0"/>
          <w:numId w:val="7"/>
        </w:numPr>
        <w:spacing w:line="360" w:lineRule="auto"/>
        <w:jc w:val="both"/>
        <w:rPr>
          <w:rFonts w:ascii="Arial" w:eastAsia="Arial Unicode MS" w:hAnsi="Arial" w:cs="Arial"/>
        </w:rPr>
      </w:pPr>
      <w:r w:rsidRPr="0034785A">
        <w:rPr>
          <w:rFonts w:ascii="Arial" w:eastAsia="Arial Unicode MS" w:hAnsi="Arial" w:cs="Arial"/>
        </w:rPr>
        <w:t xml:space="preserve">Órgano Garante de Acceso a la Información Pública, Transparencia, Protección de Datos Personales y Buen Gobierno del Estado de Oaxaca y los Servicios de Salud de Oaxaca, por la práctica denominada micrositio </w:t>
      </w:r>
      <w:r w:rsidRPr="0034785A">
        <w:rPr>
          <w:rFonts w:ascii="Arial" w:eastAsia="Arial Unicode MS" w:hAnsi="Arial" w:cs="Arial"/>
          <w:i/>
          <w:iCs/>
        </w:rPr>
        <w:t>“Covid-19”.</w:t>
      </w:r>
    </w:p>
    <w:p w14:paraId="09D83913" w14:textId="77777777" w:rsidR="0034785A" w:rsidRPr="0034785A" w:rsidRDefault="0034785A" w:rsidP="0034785A">
      <w:pPr>
        <w:pStyle w:val="Prrafodelista"/>
        <w:rPr>
          <w:rFonts w:ascii="Arial" w:eastAsia="Arial Unicode MS" w:hAnsi="Arial" w:cs="Arial"/>
        </w:rPr>
      </w:pPr>
    </w:p>
    <w:p w14:paraId="47123CCF" w14:textId="77777777" w:rsidR="0034785A" w:rsidRPr="0034785A" w:rsidRDefault="0034785A" w:rsidP="0034785A">
      <w:pPr>
        <w:spacing w:line="360" w:lineRule="auto"/>
        <w:contextualSpacing/>
        <w:jc w:val="both"/>
        <w:rPr>
          <w:rFonts w:ascii="Arial" w:eastAsia="Arial Unicode MS" w:hAnsi="Arial" w:cs="Arial"/>
        </w:rPr>
      </w:pPr>
    </w:p>
    <w:p w14:paraId="21B39FCD" w14:textId="6F2DF75E" w:rsidR="0034785A" w:rsidRPr="00C57B22" w:rsidRDefault="0034785A" w:rsidP="00C57B22">
      <w:pPr>
        <w:pStyle w:val="Prrafodelista"/>
        <w:numPr>
          <w:ilvl w:val="0"/>
          <w:numId w:val="9"/>
        </w:numPr>
        <w:spacing w:line="360" w:lineRule="auto"/>
        <w:jc w:val="both"/>
        <w:rPr>
          <w:rFonts w:ascii="Arial" w:hAnsi="Arial" w:cs="Arial"/>
        </w:rPr>
      </w:pPr>
      <w:r w:rsidRPr="00C57B22">
        <w:rPr>
          <w:rFonts w:ascii="Arial" w:eastAsia="Arial Unicode MS" w:hAnsi="Arial" w:cs="Arial"/>
        </w:rPr>
        <w:t xml:space="preserve">Con motivo de lo anterior, y de conformidad con el artículo 70 fracción XLVIII de la </w:t>
      </w:r>
      <w:r w:rsidRPr="00C57B22">
        <w:rPr>
          <w:rFonts w:ascii="Arial" w:hAnsi="Arial" w:cs="Arial"/>
        </w:rPr>
        <w:t xml:space="preserve">Ley General de Transparencia y Acceso a la Información Pública; 70 fracción XLVIII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así como el numeral vigésimo de los </w:t>
      </w:r>
      <w:r w:rsidRPr="00C57B22">
        <w:rPr>
          <w:rFonts w:ascii="Arial" w:eastAsia="Arial Unicode MS" w:hAnsi="Arial" w:cs="Arial"/>
        </w:rPr>
        <w:t xml:space="preserve">Lineamientos para determinar los catálogos y publicación de Información de Interés Público; y para la emisión y evaluación de Políticas de Transparencia Proactiva, los sujetos obligados cuyas prácticas han sido reconocidas deberán difundir en los medios de difusión alternativos seleccionados para </w:t>
      </w:r>
      <w:r w:rsidRPr="00C57B22">
        <w:rPr>
          <w:rFonts w:ascii="Arial" w:eastAsia="Arial Unicode MS" w:hAnsi="Arial" w:cs="Arial"/>
        </w:rPr>
        <w:lastRenderedPageBreak/>
        <w:t xml:space="preserve">su audiencia y divulgarse de forma obligatoria mediante un enlace, utilizando el formato 48c en la fracción XLVIII del </w:t>
      </w:r>
      <w:r w:rsidR="003E28AA" w:rsidRPr="00C57B22">
        <w:rPr>
          <w:rFonts w:ascii="Arial" w:eastAsia="Arial Unicode MS" w:hAnsi="Arial" w:cs="Arial"/>
        </w:rPr>
        <w:t>artículo</w:t>
      </w:r>
      <w:r w:rsidRPr="00C57B22">
        <w:rPr>
          <w:rFonts w:ascii="Arial" w:eastAsia="Arial Unicode MS" w:hAnsi="Arial" w:cs="Arial"/>
        </w:rPr>
        <w:t xml:space="preserve"> 70 de la Ley General.</w:t>
      </w:r>
    </w:p>
    <w:p w14:paraId="030643B5" w14:textId="77777777" w:rsidR="0034785A" w:rsidRPr="0034785A" w:rsidRDefault="0034785A" w:rsidP="0034785A">
      <w:pPr>
        <w:spacing w:line="360" w:lineRule="auto"/>
        <w:jc w:val="both"/>
        <w:rPr>
          <w:rFonts w:ascii="Arial" w:eastAsia="Arial Unicode MS" w:hAnsi="Arial" w:cs="Arial"/>
        </w:rPr>
      </w:pPr>
    </w:p>
    <w:p w14:paraId="22602E21" w14:textId="44DB9CD1" w:rsidR="0034785A" w:rsidRPr="0034785A" w:rsidRDefault="0034785A" w:rsidP="0034785A">
      <w:pPr>
        <w:autoSpaceDE w:val="0"/>
        <w:autoSpaceDN w:val="0"/>
        <w:adjustRightInd w:val="0"/>
        <w:spacing w:before="240" w:line="360" w:lineRule="auto"/>
        <w:jc w:val="both"/>
        <w:rPr>
          <w:rFonts w:ascii="Arial" w:hAnsi="Arial" w:cs="Arial"/>
          <w:b/>
          <w:bCs/>
        </w:rPr>
      </w:pPr>
      <w:r w:rsidRPr="0034785A">
        <w:rPr>
          <w:rFonts w:ascii="Arial" w:eastAsia="Arial Unicode MS" w:hAnsi="Arial" w:cs="Arial"/>
        </w:rPr>
        <w:t xml:space="preserve">Que por los considerandos expuestos </w:t>
      </w:r>
      <w:r w:rsidRPr="0034785A">
        <w:rPr>
          <w:rFonts w:ascii="Arial" w:hAnsi="Arial" w:cs="Arial"/>
        </w:rPr>
        <w:t xml:space="preserve">y con fundamento en lo establecido en el artículo 6 apartado A de la Constitución Política de los Estados Unidos Mexicanos; 24 </w:t>
      </w:r>
      <w:proofErr w:type="spellStart"/>
      <w:r w:rsidRPr="0034785A">
        <w:rPr>
          <w:rFonts w:ascii="Arial" w:hAnsi="Arial" w:cs="Arial"/>
        </w:rPr>
        <w:t>frs</w:t>
      </w:r>
      <w:proofErr w:type="spellEnd"/>
      <w:r w:rsidRPr="0034785A">
        <w:rPr>
          <w:rFonts w:ascii="Arial" w:hAnsi="Arial" w:cs="Arial"/>
        </w:rPr>
        <w:t xml:space="preserve">. </w:t>
      </w:r>
      <w:r w:rsidRPr="0034785A">
        <w:rPr>
          <w:rFonts w:ascii="Arial" w:hAnsi="Arial" w:cs="Arial"/>
          <w:lang w:val="en-US"/>
        </w:rPr>
        <w:t xml:space="preserve">V, VIII, XI, XII, XIII; 42 </w:t>
      </w:r>
      <w:proofErr w:type="spellStart"/>
      <w:r w:rsidRPr="0034785A">
        <w:rPr>
          <w:rFonts w:ascii="Arial" w:hAnsi="Arial" w:cs="Arial"/>
          <w:lang w:val="en-US"/>
        </w:rPr>
        <w:t>frs.</w:t>
      </w:r>
      <w:proofErr w:type="spellEnd"/>
      <w:r w:rsidRPr="0034785A">
        <w:rPr>
          <w:rFonts w:ascii="Arial" w:hAnsi="Arial" w:cs="Arial"/>
          <w:lang w:val="en-US"/>
        </w:rPr>
        <w:t xml:space="preserve"> XII,XIII, XX, XXI; 54 </w:t>
      </w:r>
      <w:proofErr w:type="spellStart"/>
      <w:r w:rsidRPr="0034785A">
        <w:rPr>
          <w:rFonts w:ascii="Arial" w:hAnsi="Arial" w:cs="Arial"/>
          <w:lang w:val="en-US"/>
        </w:rPr>
        <w:t>fr.</w:t>
      </w:r>
      <w:proofErr w:type="spellEnd"/>
      <w:r w:rsidRPr="0034785A">
        <w:rPr>
          <w:rFonts w:ascii="Arial" w:hAnsi="Arial" w:cs="Arial"/>
          <w:lang w:val="en-US"/>
        </w:rPr>
        <w:t xml:space="preserve"> </w:t>
      </w:r>
      <w:r w:rsidRPr="0034785A">
        <w:rPr>
          <w:rFonts w:ascii="Arial" w:hAnsi="Arial" w:cs="Arial"/>
        </w:rPr>
        <w:t xml:space="preserve">VIII, 56, 57, 58, 64 y 70 fracciones XIX, XX, XXXVIII de la Ley General de Transparencia y Acceso a la Información Pública; en relación a los artículos 3, 12, 114 inciso C sexto párrafo, fr. VI de la Constitución Política del Estado Libre y Soberano de Oaxaca;  2, 5 fr. II y IV, 10 fr. XV, 15 segundo párrafo, 44, 49, </w:t>
      </w:r>
      <w:r w:rsidRPr="008C5A44">
        <w:rPr>
          <w:rFonts w:ascii="Arial" w:hAnsi="Arial" w:cs="Arial"/>
        </w:rPr>
        <w:t xml:space="preserve">93 fr. IV inciso g </w:t>
      </w:r>
      <w:r w:rsidRPr="0034785A">
        <w:rPr>
          <w:rFonts w:ascii="Arial" w:hAnsi="Arial" w:cs="Arial"/>
        </w:rPr>
        <w:t>de la Ley de Transparencia, Acceso a la Información Pública y Buen Gobierno del Estado de Oaxaca, el  Consejo General de este Órgano Garante emite el siguiente:</w:t>
      </w:r>
    </w:p>
    <w:p w14:paraId="5ED66462" w14:textId="77777777" w:rsidR="0034785A" w:rsidRPr="0034785A" w:rsidRDefault="0034785A" w:rsidP="0034785A">
      <w:pPr>
        <w:spacing w:line="276" w:lineRule="auto"/>
        <w:jc w:val="both"/>
        <w:rPr>
          <w:rFonts w:ascii="Arial" w:eastAsia="Arial Unicode MS" w:hAnsi="Arial" w:cs="Arial"/>
        </w:rPr>
      </w:pPr>
    </w:p>
    <w:p w14:paraId="61D5DD84" w14:textId="77777777" w:rsidR="0034785A" w:rsidRPr="0034785A" w:rsidRDefault="0034785A" w:rsidP="0034785A">
      <w:pPr>
        <w:autoSpaceDE w:val="0"/>
        <w:autoSpaceDN w:val="0"/>
        <w:adjustRightInd w:val="0"/>
        <w:spacing w:line="276" w:lineRule="auto"/>
        <w:jc w:val="center"/>
        <w:rPr>
          <w:rFonts w:ascii="Arial" w:eastAsia="Arial Unicode MS" w:hAnsi="Arial" w:cs="Arial"/>
          <w:b/>
          <w:bCs/>
          <w:iCs/>
        </w:rPr>
      </w:pPr>
      <w:r w:rsidRPr="0034785A">
        <w:rPr>
          <w:rFonts w:ascii="Arial" w:eastAsia="Arial Unicode MS" w:hAnsi="Arial" w:cs="Arial"/>
          <w:b/>
          <w:bCs/>
          <w:iCs/>
        </w:rPr>
        <w:t>ACUERDO</w:t>
      </w:r>
    </w:p>
    <w:p w14:paraId="649FE997" w14:textId="77777777" w:rsidR="0034785A" w:rsidRPr="0034785A" w:rsidRDefault="0034785A" w:rsidP="0034785A">
      <w:pPr>
        <w:autoSpaceDE w:val="0"/>
        <w:autoSpaceDN w:val="0"/>
        <w:adjustRightInd w:val="0"/>
        <w:spacing w:line="276" w:lineRule="auto"/>
        <w:jc w:val="both"/>
        <w:rPr>
          <w:rFonts w:ascii="Arial" w:eastAsia="Arial Unicode MS" w:hAnsi="Arial" w:cs="Arial"/>
          <w:b/>
          <w:bCs/>
          <w:iCs/>
          <w:u w:val="single"/>
        </w:rPr>
      </w:pPr>
    </w:p>
    <w:p w14:paraId="65D1417C" w14:textId="77777777" w:rsidR="0034785A" w:rsidRPr="0034785A" w:rsidRDefault="0034785A" w:rsidP="00C6667C">
      <w:pPr>
        <w:autoSpaceDE w:val="0"/>
        <w:autoSpaceDN w:val="0"/>
        <w:adjustRightInd w:val="0"/>
        <w:spacing w:before="240" w:line="360" w:lineRule="auto"/>
        <w:ind w:left="708" w:hanging="708"/>
        <w:jc w:val="both"/>
        <w:rPr>
          <w:rFonts w:ascii="Arial" w:hAnsi="Arial" w:cs="Arial"/>
        </w:rPr>
      </w:pPr>
      <w:r w:rsidRPr="0034785A">
        <w:rPr>
          <w:rFonts w:ascii="Arial" w:hAnsi="Arial" w:cs="Arial"/>
          <w:b/>
          <w:bCs/>
        </w:rPr>
        <w:t>PRIMERO.</w:t>
      </w:r>
      <w:r w:rsidRPr="0034785A">
        <w:rPr>
          <w:rFonts w:ascii="Arial" w:hAnsi="Arial" w:cs="Arial"/>
        </w:rPr>
        <w:t xml:space="preserve"> Se aprueba el reconocimiento de prácticas de Transparencia Proactiva a los Sujetos obligados Secretaría de la Contraloría y Transparencia Gubernamental, Coordinación de  Planeación y Evaluación para el Desarrollo Social de Oaxaca, Fiscalía General del Estado de Oaxaca, Honorable Ayuntamiento de Oaxaca de Juárez, Comisión Estatal para la Planeación de la  Educación Superior en el Estado de Oaxaca, </w:t>
      </w:r>
      <w:r w:rsidRPr="0034785A">
        <w:rPr>
          <w:rFonts w:ascii="Arial" w:eastAsia="Arial Unicode MS" w:hAnsi="Arial" w:cs="Arial"/>
        </w:rPr>
        <w:t>Órgano Garante de Acceso a la Información Pública, Transparencia, Protección de Datos Personales y Buen Gobierno del Estado de Oaxaca y los Servicios de Salud de Oaxaca</w:t>
      </w:r>
      <w:r w:rsidRPr="0034785A">
        <w:rPr>
          <w:rFonts w:ascii="Arial" w:hAnsi="Arial" w:cs="Arial"/>
        </w:rPr>
        <w:t>, correspondientes al ejercicio dos mil veintidós, con base en el informe de resultados emitido por la Dirección de Gobierno Abierto de este Órgano Garante.</w:t>
      </w:r>
    </w:p>
    <w:p w14:paraId="27CA2703" w14:textId="77777777" w:rsidR="0034785A" w:rsidRPr="0034785A" w:rsidRDefault="0034785A" w:rsidP="0034785A">
      <w:pPr>
        <w:spacing w:line="360" w:lineRule="auto"/>
        <w:contextualSpacing/>
        <w:jc w:val="both"/>
        <w:rPr>
          <w:rFonts w:ascii="Arial" w:hAnsi="Arial" w:cs="Arial"/>
          <w:b/>
          <w:bCs/>
        </w:rPr>
      </w:pPr>
    </w:p>
    <w:p w14:paraId="11476653" w14:textId="60E99C48" w:rsidR="0034785A" w:rsidRPr="0034785A" w:rsidRDefault="0034785A" w:rsidP="0034785A">
      <w:pPr>
        <w:spacing w:line="360" w:lineRule="auto"/>
        <w:contextualSpacing/>
        <w:jc w:val="both"/>
        <w:rPr>
          <w:rFonts w:ascii="Arial" w:hAnsi="Arial" w:cs="Arial"/>
        </w:rPr>
      </w:pPr>
      <w:r w:rsidRPr="0034785A">
        <w:rPr>
          <w:rFonts w:ascii="Arial" w:hAnsi="Arial" w:cs="Arial"/>
          <w:b/>
          <w:bCs/>
        </w:rPr>
        <w:t>SEGUNDO.</w:t>
      </w:r>
      <w:r w:rsidRPr="0034785A">
        <w:rPr>
          <w:rFonts w:ascii="Arial" w:hAnsi="Arial" w:cs="Arial"/>
        </w:rPr>
        <w:t xml:space="preserve"> </w:t>
      </w:r>
      <w:r w:rsidRPr="0034785A">
        <w:rPr>
          <w:rFonts w:ascii="Arial" w:eastAsia="Arial Unicode MS" w:hAnsi="Arial" w:cs="Arial"/>
        </w:rPr>
        <w:t xml:space="preserve">Los sujetos obligados cuyas prácticas han sido reconocidas deberán difundir en los medios de difusión alternativos seleccionados para su audiencia y divulgarse de forma obligatoria mediante un enlace, utilizando el formato 48c en la fracción XLVIII del </w:t>
      </w:r>
      <w:r w:rsidR="003E28AA" w:rsidRPr="0034785A">
        <w:rPr>
          <w:rFonts w:ascii="Arial" w:eastAsia="Arial Unicode MS" w:hAnsi="Arial" w:cs="Arial"/>
        </w:rPr>
        <w:t>artículo</w:t>
      </w:r>
      <w:r w:rsidRPr="0034785A">
        <w:rPr>
          <w:rFonts w:ascii="Arial" w:eastAsia="Arial Unicode MS" w:hAnsi="Arial" w:cs="Arial"/>
        </w:rPr>
        <w:t xml:space="preserve"> 70 de la Ley General.</w:t>
      </w:r>
    </w:p>
    <w:p w14:paraId="7B2D3585" w14:textId="77777777" w:rsidR="0034785A" w:rsidRPr="0034785A" w:rsidRDefault="0034785A" w:rsidP="0034785A">
      <w:pPr>
        <w:autoSpaceDE w:val="0"/>
        <w:autoSpaceDN w:val="0"/>
        <w:adjustRightInd w:val="0"/>
        <w:spacing w:before="240" w:line="360" w:lineRule="auto"/>
        <w:jc w:val="both"/>
        <w:rPr>
          <w:rFonts w:ascii="Arial" w:hAnsi="Arial" w:cs="Arial"/>
        </w:rPr>
      </w:pPr>
      <w:r w:rsidRPr="0034785A">
        <w:rPr>
          <w:rFonts w:ascii="Arial" w:hAnsi="Arial" w:cs="Arial"/>
          <w:b/>
          <w:bCs/>
        </w:rPr>
        <w:t>TERCERO.</w:t>
      </w:r>
      <w:r w:rsidRPr="0034785A">
        <w:rPr>
          <w:rFonts w:ascii="Arial" w:hAnsi="Arial" w:cs="Arial"/>
        </w:rPr>
        <w:t xml:space="preserve"> Se instruye a la Secretaría General de Acuerdos, realice la notificación del presente acuerdo a los Sujetos obligados reconocidos por sus prácticas de Transparencia Proactiva, correspondientes al ejercicio dos mi veintidós, por conducto de sus titulares y/o responsables de sus respectivas Unidades de Transparencia, y una vez realizado lo anterior, informe a este Consejo General y a la Dirección de Gobierno Abierto de este Órgano su debido cumplimiento.</w:t>
      </w:r>
    </w:p>
    <w:p w14:paraId="106B3870" w14:textId="77777777" w:rsidR="0034785A" w:rsidRPr="0034785A" w:rsidRDefault="0034785A" w:rsidP="0034785A">
      <w:pPr>
        <w:autoSpaceDE w:val="0"/>
        <w:autoSpaceDN w:val="0"/>
        <w:adjustRightInd w:val="0"/>
        <w:spacing w:before="240" w:line="360" w:lineRule="auto"/>
        <w:jc w:val="both"/>
        <w:rPr>
          <w:rFonts w:ascii="Arial" w:hAnsi="Arial" w:cs="Arial"/>
        </w:rPr>
      </w:pPr>
      <w:r w:rsidRPr="0034785A">
        <w:rPr>
          <w:rFonts w:ascii="Arial" w:hAnsi="Arial" w:cs="Arial"/>
          <w:b/>
          <w:bCs/>
        </w:rPr>
        <w:t>CUARTO.</w:t>
      </w:r>
      <w:r w:rsidRPr="0034785A">
        <w:rPr>
          <w:rFonts w:ascii="Arial" w:hAnsi="Arial" w:cs="Arial"/>
        </w:rPr>
        <w:t xml:space="preserve"> Se instruye a la Dirección de Gobierno Abierto a realizar las gestiones necesarias para publicar el informe de resultados y el listado de sujetos obligados </w:t>
      </w:r>
      <w:r w:rsidRPr="0034785A">
        <w:rPr>
          <w:rFonts w:ascii="Arial" w:hAnsi="Arial" w:cs="Arial"/>
        </w:rPr>
        <w:lastRenderedPageBreak/>
        <w:t>que obtuvieron el reconocimiento, en el portal institucional de este Órgano Garante, e informe a este Consejo General sobre su cumplimiento.</w:t>
      </w:r>
    </w:p>
    <w:p w14:paraId="7C60E3BF" w14:textId="7A92220E" w:rsidR="0034785A" w:rsidRPr="003E28AA" w:rsidRDefault="0034785A" w:rsidP="0034785A">
      <w:pPr>
        <w:autoSpaceDE w:val="0"/>
        <w:autoSpaceDN w:val="0"/>
        <w:adjustRightInd w:val="0"/>
        <w:spacing w:before="240" w:line="360" w:lineRule="auto"/>
        <w:jc w:val="both"/>
        <w:rPr>
          <w:rFonts w:ascii="Arial" w:eastAsia="Arial Unicode MS" w:hAnsi="Arial" w:cs="Arial"/>
          <w:i/>
          <w:iCs/>
          <w:lang w:val="es-ES" w:eastAsia="es-ES"/>
        </w:rPr>
      </w:pPr>
      <w:r w:rsidRPr="0034785A">
        <w:rPr>
          <w:rFonts w:ascii="Arial" w:hAnsi="Arial" w:cs="Arial"/>
          <w:b/>
          <w:bCs/>
        </w:rPr>
        <w:t>QUINTO.</w:t>
      </w:r>
      <w:r w:rsidRPr="0034785A">
        <w:rPr>
          <w:rFonts w:ascii="Arial" w:hAnsi="Arial" w:cs="Arial"/>
        </w:rPr>
        <w:t xml:space="preserve"> </w:t>
      </w:r>
      <w:r w:rsidRPr="0034785A">
        <w:rPr>
          <w:rFonts w:ascii="Arial" w:eastAsia="Arial Unicode MS" w:hAnsi="Arial" w:cs="Arial"/>
          <w:lang w:val="es-ES" w:eastAsia="es-ES"/>
        </w:rPr>
        <w:t xml:space="preserve"> Se instruye a la Dirección de Comunicación, Capacitación, Evaluación, Archivos y Datos Personales de este Órgano Garante para que realice la verificación de la publicación de la información relativa a las prácticas de Transparencia Proactiva como parte del </w:t>
      </w:r>
      <w:r w:rsidRPr="0034785A">
        <w:rPr>
          <w:rFonts w:ascii="Arial" w:eastAsia="Arial Unicode MS" w:hAnsi="Arial" w:cs="Arial"/>
          <w:i/>
          <w:iCs/>
          <w:lang w:val="es-ES" w:eastAsia="es-ES"/>
        </w:rPr>
        <w:t>Programa Anual de verificación al cumplimiento de las Obligaciones de Transparencia 202</w:t>
      </w:r>
      <w:r w:rsidR="003E28AA">
        <w:rPr>
          <w:rFonts w:ascii="Arial" w:eastAsia="Arial Unicode MS" w:hAnsi="Arial" w:cs="Arial"/>
          <w:i/>
          <w:iCs/>
          <w:lang w:val="es-ES" w:eastAsia="es-ES"/>
        </w:rPr>
        <w:t>3</w:t>
      </w:r>
      <w:r w:rsidRPr="0034785A">
        <w:rPr>
          <w:rFonts w:ascii="Arial" w:hAnsi="Arial" w:cs="Arial"/>
          <w:lang w:val="es-ES"/>
        </w:rPr>
        <w:t>.</w:t>
      </w:r>
    </w:p>
    <w:p w14:paraId="2C0E0608" w14:textId="77777777" w:rsidR="0034785A" w:rsidRPr="0034785A" w:rsidRDefault="0034785A" w:rsidP="0034785A">
      <w:pPr>
        <w:autoSpaceDE w:val="0"/>
        <w:autoSpaceDN w:val="0"/>
        <w:adjustRightInd w:val="0"/>
        <w:spacing w:before="240" w:line="360" w:lineRule="auto"/>
        <w:jc w:val="both"/>
        <w:rPr>
          <w:rFonts w:ascii="Arial" w:hAnsi="Arial" w:cs="Arial"/>
        </w:rPr>
      </w:pPr>
      <w:r w:rsidRPr="0034785A">
        <w:rPr>
          <w:rFonts w:ascii="Arial" w:hAnsi="Arial" w:cs="Arial"/>
          <w:b/>
          <w:bCs/>
        </w:rPr>
        <w:t xml:space="preserve">SEXTO. </w:t>
      </w:r>
      <w:r w:rsidRPr="0034785A">
        <w:rPr>
          <w:rFonts w:ascii="Arial" w:hAnsi="Arial" w:cs="Arial"/>
        </w:rPr>
        <w:t>Se instruye a la Dirección de Tecnologías de Transparencia, para que publique el presente acuerdo en el portal electrónico del Órgano Garante.</w:t>
      </w:r>
    </w:p>
    <w:p w14:paraId="310A2D42" w14:textId="04535E9A" w:rsidR="0034785A" w:rsidRDefault="0034785A" w:rsidP="0034785A">
      <w:pPr>
        <w:tabs>
          <w:tab w:val="left" w:pos="9356"/>
        </w:tabs>
        <w:spacing w:line="276" w:lineRule="auto"/>
        <w:jc w:val="both"/>
        <w:rPr>
          <w:rFonts w:ascii="Arial" w:eastAsia="Arial Unicode MS" w:hAnsi="Arial" w:cs="Arial"/>
        </w:rPr>
      </w:pPr>
    </w:p>
    <w:p w14:paraId="24B30F01" w14:textId="77777777" w:rsidR="0034785A" w:rsidRPr="0034785A" w:rsidRDefault="0034785A" w:rsidP="0034785A">
      <w:pPr>
        <w:tabs>
          <w:tab w:val="left" w:pos="9356"/>
        </w:tabs>
        <w:spacing w:line="276" w:lineRule="auto"/>
        <w:jc w:val="both"/>
        <w:rPr>
          <w:rFonts w:ascii="Arial" w:eastAsia="Arial Unicode MS" w:hAnsi="Arial" w:cs="Arial"/>
        </w:rPr>
      </w:pPr>
    </w:p>
    <w:tbl>
      <w:tblPr>
        <w:tblStyle w:val="Tablaconcuadrc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517"/>
      </w:tblGrid>
      <w:tr w:rsidR="0034785A" w:rsidRPr="0034785A" w14:paraId="1B868DEC" w14:textId="77777777" w:rsidTr="0034785A">
        <w:tc>
          <w:tcPr>
            <w:tcW w:w="9078" w:type="dxa"/>
            <w:gridSpan w:val="2"/>
          </w:tcPr>
          <w:p w14:paraId="6A3A3B84" w14:textId="515BAB37" w:rsidR="0034785A" w:rsidRPr="0034785A" w:rsidRDefault="0034785A" w:rsidP="00C70B65">
            <w:pPr>
              <w:tabs>
                <w:tab w:val="left" w:pos="9356"/>
              </w:tabs>
              <w:spacing w:line="360" w:lineRule="auto"/>
              <w:jc w:val="both"/>
              <w:rPr>
                <w:rFonts w:ascii="Arial" w:eastAsia="Arial Unicode MS" w:hAnsi="Arial" w:cs="Arial"/>
              </w:rPr>
            </w:pPr>
            <w:r w:rsidRPr="0034785A">
              <w:rPr>
                <w:rFonts w:ascii="Arial" w:eastAsia="Arial Unicode MS" w:hAnsi="Arial" w:cs="Arial"/>
              </w:rPr>
              <w:t xml:space="preserve">Así lo acordó y aprueban por unanimidad, las Comisionadas y los Comisionados del Consejo General del OGAIPO, en la Ciudad de Oaxaca de Juárez, Oaxaca, ante el Secretario General de Acuerdos quien certifica y da fe, el </w:t>
            </w:r>
            <w:r>
              <w:rPr>
                <w:rFonts w:ascii="Arial" w:eastAsia="Arial Unicode MS" w:hAnsi="Arial" w:cs="Arial"/>
              </w:rPr>
              <w:t>veintinueve</w:t>
            </w:r>
            <w:r w:rsidRPr="0034785A">
              <w:rPr>
                <w:rFonts w:ascii="Arial" w:eastAsia="Arial Unicode MS" w:hAnsi="Arial" w:cs="Arial"/>
              </w:rPr>
              <w:t xml:space="preserve"> de septiembre de dos mil veintidós</w:t>
            </w:r>
            <w:r w:rsidR="003E28AA">
              <w:rPr>
                <w:rFonts w:ascii="Arial" w:eastAsia="Arial Unicode MS" w:hAnsi="Arial" w:cs="Arial"/>
              </w:rPr>
              <w:t xml:space="preserve">. </w:t>
            </w:r>
            <w:r w:rsidRPr="0034785A">
              <w:rPr>
                <w:rFonts w:ascii="Arial" w:eastAsia="Arial Unicode MS" w:hAnsi="Arial" w:cs="Arial"/>
              </w:rPr>
              <w:t>-----------------------------------------------------------------</w:t>
            </w:r>
            <w:r>
              <w:rPr>
                <w:rFonts w:ascii="Arial" w:eastAsia="Arial Unicode MS" w:hAnsi="Arial" w:cs="Arial"/>
              </w:rPr>
              <w:t>------------------</w:t>
            </w:r>
          </w:p>
          <w:p w14:paraId="570A34E8" w14:textId="77777777" w:rsidR="0034785A" w:rsidRPr="0034785A" w:rsidRDefault="0034785A" w:rsidP="00C70B65">
            <w:pPr>
              <w:tabs>
                <w:tab w:val="left" w:pos="4424"/>
                <w:tab w:val="left" w:pos="9356"/>
              </w:tabs>
              <w:spacing w:line="276" w:lineRule="auto"/>
              <w:rPr>
                <w:rFonts w:ascii="Arial" w:eastAsia="Arial Unicode MS" w:hAnsi="Arial" w:cs="Arial"/>
                <w:b/>
                <w:bCs/>
              </w:rPr>
            </w:pPr>
          </w:p>
          <w:p w14:paraId="3D9C8F15" w14:textId="77777777" w:rsidR="0034785A" w:rsidRPr="0034785A" w:rsidRDefault="0034785A" w:rsidP="00C70B65">
            <w:pPr>
              <w:tabs>
                <w:tab w:val="left" w:pos="4424"/>
                <w:tab w:val="left" w:pos="9356"/>
              </w:tabs>
              <w:spacing w:line="276" w:lineRule="auto"/>
              <w:jc w:val="center"/>
              <w:rPr>
                <w:rFonts w:ascii="Arial" w:eastAsia="Arial Unicode MS" w:hAnsi="Arial" w:cs="Arial"/>
                <w:b/>
                <w:bCs/>
              </w:rPr>
            </w:pPr>
          </w:p>
          <w:p w14:paraId="3A29FA90" w14:textId="77777777" w:rsidR="0034785A" w:rsidRPr="0034785A" w:rsidRDefault="0034785A" w:rsidP="00C70B65">
            <w:pPr>
              <w:tabs>
                <w:tab w:val="left" w:pos="4424"/>
                <w:tab w:val="left" w:pos="9356"/>
              </w:tabs>
              <w:spacing w:line="276" w:lineRule="auto"/>
              <w:jc w:val="center"/>
              <w:rPr>
                <w:rFonts w:ascii="Arial" w:eastAsia="Arial Unicode MS" w:hAnsi="Arial" w:cs="Arial"/>
                <w:b/>
                <w:bCs/>
              </w:rPr>
            </w:pPr>
            <w:r w:rsidRPr="0034785A">
              <w:rPr>
                <w:rFonts w:ascii="Arial" w:eastAsia="Arial Unicode MS" w:hAnsi="Arial" w:cs="Arial"/>
                <w:b/>
                <w:bCs/>
              </w:rPr>
              <w:t>José Luis Echeverría Morales</w:t>
            </w:r>
          </w:p>
          <w:p w14:paraId="777E294C" w14:textId="77777777" w:rsidR="0034785A" w:rsidRPr="0034785A" w:rsidRDefault="0034785A" w:rsidP="00C70B65">
            <w:pPr>
              <w:tabs>
                <w:tab w:val="left" w:pos="4424"/>
                <w:tab w:val="left" w:pos="9356"/>
              </w:tabs>
              <w:spacing w:line="276" w:lineRule="auto"/>
              <w:jc w:val="center"/>
              <w:rPr>
                <w:rFonts w:ascii="Arial" w:eastAsia="Arial Unicode MS" w:hAnsi="Arial" w:cs="Arial"/>
              </w:rPr>
            </w:pPr>
            <w:r w:rsidRPr="0034785A">
              <w:rPr>
                <w:rFonts w:ascii="Arial" w:eastAsia="Arial Unicode MS" w:hAnsi="Arial" w:cs="Arial"/>
              </w:rPr>
              <w:t>Comisionado Presidente</w:t>
            </w:r>
          </w:p>
          <w:p w14:paraId="3E033149" w14:textId="77777777" w:rsidR="0034785A" w:rsidRPr="0034785A" w:rsidRDefault="0034785A" w:rsidP="00C70B65">
            <w:pPr>
              <w:tabs>
                <w:tab w:val="left" w:pos="9356"/>
              </w:tabs>
              <w:spacing w:line="276" w:lineRule="auto"/>
              <w:jc w:val="both"/>
              <w:rPr>
                <w:rFonts w:ascii="Arial" w:eastAsia="Arial Unicode MS" w:hAnsi="Arial" w:cs="Arial"/>
              </w:rPr>
            </w:pPr>
          </w:p>
        </w:tc>
      </w:tr>
      <w:tr w:rsidR="0034785A" w:rsidRPr="0034785A" w14:paraId="0B3F4989" w14:textId="77777777" w:rsidTr="0034785A">
        <w:tc>
          <w:tcPr>
            <w:tcW w:w="4561" w:type="dxa"/>
          </w:tcPr>
          <w:p w14:paraId="13FF4664" w14:textId="77777777" w:rsidR="0034785A" w:rsidRPr="0034785A" w:rsidRDefault="0034785A" w:rsidP="00C70B65">
            <w:pPr>
              <w:tabs>
                <w:tab w:val="left" w:pos="9356"/>
              </w:tabs>
              <w:spacing w:line="276" w:lineRule="auto"/>
              <w:rPr>
                <w:rFonts w:ascii="Arial" w:eastAsia="Arial Unicode MS" w:hAnsi="Arial" w:cs="Arial"/>
                <w:b/>
                <w:bCs/>
              </w:rPr>
            </w:pPr>
          </w:p>
          <w:p w14:paraId="433C31E3" w14:textId="77777777" w:rsidR="0034785A" w:rsidRPr="0034785A" w:rsidRDefault="0034785A" w:rsidP="00C70B65">
            <w:pPr>
              <w:tabs>
                <w:tab w:val="left" w:pos="9356"/>
              </w:tabs>
              <w:spacing w:line="276" w:lineRule="auto"/>
              <w:jc w:val="center"/>
              <w:rPr>
                <w:rFonts w:ascii="Arial" w:eastAsia="Arial Unicode MS" w:hAnsi="Arial" w:cs="Arial"/>
                <w:b/>
                <w:bCs/>
              </w:rPr>
            </w:pPr>
            <w:r w:rsidRPr="0034785A">
              <w:rPr>
                <w:rFonts w:ascii="Arial" w:eastAsia="Arial Unicode MS" w:hAnsi="Arial" w:cs="Arial"/>
                <w:b/>
                <w:bCs/>
              </w:rPr>
              <w:t>María Tanivet Ramos Reyes</w:t>
            </w:r>
          </w:p>
          <w:p w14:paraId="775296D8" w14:textId="77777777" w:rsidR="0034785A" w:rsidRPr="0034785A" w:rsidRDefault="0034785A" w:rsidP="00C70B65">
            <w:pPr>
              <w:tabs>
                <w:tab w:val="left" w:pos="9356"/>
              </w:tabs>
              <w:spacing w:line="276" w:lineRule="auto"/>
              <w:jc w:val="center"/>
              <w:rPr>
                <w:rFonts w:ascii="Arial" w:eastAsia="Arial Unicode MS" w:hAnsi="Arial" w:cs="Arial"/>
              </w:rPr>
            </w:pPr>
            <w:r w:rsidRPr="0034785A">
              <w:rPr>
                <w:rFonts w:ascii="Arial" w:eastAsia="Arial Unicode MS" w:hAnsi="Arial" w:cs="Arial"/>
              </w:rPr>
              <w:t>Comisionada</w:t>
            </w:r>
          </w:p>
        </w:tc>
        <w:tc>
          <w:tcPr>
            <w:tcW w:w="4517" w:type="dxa"/>
          </w:tcPr>
          <w:p w14:paraId="3671E451" w14:textId="77777777" w:rsidR="0034785A" w:rsidRPr="0034785A" w:rsidRDefault="0034785A" w:rsidP="00C70B65">
            <w:pPr>
              <w:tabs>
                <w:tab w:val="left" w:pos="9356"/>
              </w:tabs>
              <w:spacing w:line="276" w:lineRule="auto"/>
              <w:rPr>
                <w:rFonts w:ascii="Arial" w:eastAsia="Arial Unicode MS" w:hAnsi="Arial" w:cs="Arial"/>
                <w:b/>
                <w:bCs/>
              </w:rPr>
            </w:pPr>
          </w:p>
          <w:p w14:paraId="4A50B70A" w14:textId="77777777" w:rsidR="0034785A" w:rsidRPr="0034785A" w:rsidRDefault="0034785A" w:rsidP="00C70B65">
            <w:pPr>
              <w:tabs>
                <w:tab w:val="left" w:pos="9356"/>
              </w:tabs>
              <w:spacing w:line="276" w:lineRule="auto"/>
              <w:jc w:val="center"/>
              <w:rPr>
                <w:rFonts w:ascii="Arial" w:eastAsia="Arial Unicode MS" w:hAnsi="Arial" w:cs="Arial"/>
                <w:b/>
                <w:bCs/>
              </w:rPr>
            </w:pPr>
            <w:r w:rsidRPr="0034785A">
              <w:rPr>
                <w:rFonts w:ascii="Arial" w:eastAsia="Arial Unicode MS" w:hAnsi="Arial" w:cs="Arial"/>
                <w:b/>
                <w:bCs/>
              </w:rPr>
              <w:t xml:space="preserve">Xóchitl Elizabeth Méndez Sánchez </w:t>
            </w:r>
          </w:p>
          <w:p w14:paraId="158ADCA4" w14:textId="77777777" w:rsidR="0034785A" w:rsidRPr="0034785A" w:rsidRDefault="0034785A" w:rsidP="00C70B65">
            <w:pPr>
              <w:tabs>
                <w:tab w:val="left" w:pos="9356"/>
              </w:tabs>
              <w:spacing w:line="276" w:lineRule="auto"/>
              <w:jc w:val="center"/>
              <w:rPr>
                <w:rFonts w:ascii="Arial" w:eastAsia="Arial Unicode MS" w:hAnsi="Arial" w:cs="Arial"/>
              </w:rPr>
            </w:pPr>
            <w:r w:rsidRPr="0034785A">
              <w:rPr>
                <w:rFonts w:ascii="Arial" w:eastAsia="Arial Unicode MS" w:hAnsi="Arial" w:cs="Arial"/>
              </w:rPr>
              <w:t>Comisionada</w:t>
            </w:r>
          </w:p>
        </w:tc>
      </w:tr>
      <w:tr w:rsidR="0034785A" w:rsidRPr="0034785A" w14:paraId="51F83123" w14:textId="77777777" w:rsidTr="0034785A">
        <w:tc>
          <w:tcPr>
            <w:tcW w:w="4561" w:type="dxa"/>
          </w:tcPr>
          <w:p w14:paraId="15F4CAF7" w14:textId="77777777" w:rsidR="0034785A" w:rsidRPr="0034785A" w:rsidRDefault="0034785A" w:rsidP="00C70B65">
            <w:pPr>
              <w:tabs>
                <w:tab w:val="left" w:pos="9356"/>
              </w:tabs>
              <w:spacing w:line="276" w:lineRule="auto"/>
              <w:jc w:val="center"/>
              <w:rPr>
                <w:rFonts w:ascii="Arial" w:eastAsia="Arial Unicode MS" w:hAnsi="Arial" w:cs="Arial"/>
                <w:b/>
                <w:bCs/>
              </w:rPr>
            </w:pPr>
          </w:p>
          <w:p w14:paraId="6B1B1010" w14:textId="77777777" w:rsidR="0034785A" w:rsidRPr="0034785A" w:rsidRDefault="0034785A" w:rsidP="00C70B65">
            <w:pPr>
              <w:tabs>
                <w:tab w:val="left" w:pos="9356"/>
              </w:tabs>
              <w:spacing w:line="276" w:lineRule="auto"/>
              <w:rPr>
                <w:rFonts w:ascii="Arial" w:eastAsia="Arial Unicode MS" w:hAnsi="Arial" w:cs="Arial"/>
                <w:b/>
                <w:bCs/>
              </w:rPr>
            </w:pPr>
          </w:p>
          <w:p w14:paraId="084427B5" w14:textId="77777777" w:rsidR="0034785A" w:rsidRPr="0034785A" w:rsidRDefault="0034785A" w:rsidP="00C70B65">
            <w:pPr>
              <w:tabs>
                <w:tab w:val="left" w:pos="9356"/>
              </w:tabs>
              <w:spacing w:line="276" w:lineRule="auto"/>
              <w:jc w:val="center"/>
              <w:rPr>
                <w:rFonts w:ascii="Arial" w:eastAsia="Arial Unicode MS" w:hAnsi="Arial" w:cs="Arial"/>
                <w:b/>
                <w:bCs/>
              </w:rPr>
            </w:pPr>
            <w:r w:rsidRPr="0034785A">
              <w:rPr>
                <w:rFonts w:ascii="Arial" w:eastAsia="Arial Unicode MS" w:hAnsi="Arial" w:cs="Arial"/>
                <w:b/>
                <w:bCs/>
              </w:rPr>
              <w:t>Claudia Ivette Soto Pineda</w:t>
            </w:r>
          </w:p>
          <w:p w14:paraId="39B401D4" w14:textId="77777777" w:rsidR="0034785A" w:rsidRPr="0034785A" w:rsidRDefault="0034785A" w:rsidP="00C70B65">
            <w:pPr>
              <w:tabs>
                <w:tab w:val="left" w:pos="9356"/>
              </w:tabs>
              <w:spacing w:line="276" w:lineRule="auto"/>
              <w:jc w:val="center"/>
              <w:rPr>
                <w:rFonts w:ascii="Arial" w:eastAsia="Arial Unicode MS" w:hAnsi="Arial" w:cs="Arial"/>
              </w:rPr>
            </w:pPr>
            <w:r w:rsidRPr="0034785A">
              <w:rPr>
                <w:rFonts w:ascii="Arial" w:eastAsia="Arial Unicode MS" w:hAnsi="Arial" w:cs="Arial"/>
              </w:rPr>
              <w:t>Comisionada</w:t>
            </w:r>
          </w:p>
        </w:tc>
        <w:tc>
          <w:tcPr>
            <w:tcW w:w="4517" w:type="dxa"/>
          </w:tcPr>
          <w:p w14:paraId="49B6E8E6" w14:textId="77777777" w:rsidR="0034785A" w:rsidRPr="0034785A" w:rsidRDefault="0034785A" w:rsidP="00C70B65">
            <w:pPr>
              <w:tabs>
                <w:tab w:val="left" w:pos="9356"/>
              </w:tabs>
              <w:spacing w:line="276" w:lineRule="auto"/>
              <w:jc w:val="center"/>
              <w:rPr>
                <w:rFonts w:ascii="Arial" w:eastAsia="Arial Unicode MS" w:hAnsi="Arial" w:cs="Arial"/>
                <w:b/>
                <w:bCs/>
              </w:rPr>
            </w:pPr>
          </w:p>
          <w:p w14:paraId="091192F4" w14:textId="77777777" w:rsidR="0034785A" w:rsidRPr="0034785A" w:rsidRDefault="0034785A" w:rsidP="00C70B65">
            <w:pPr>
              <w:tabs>
                <w:tab w:val="left" w:pos="9356"/>
              </w:tabs>
              <w:spacing w:line="276" w:lineRule="auto"/>
              <w:rPr>
                <w:rFonts w:ascii="Arial" w:eastAsia="Arial Unicode MS" w:hAnsi="Arial" w:cs="Arial"/>
                <w:b/>
                <w:bCs/>
              </w:rPr>
            </w:pPr>
          </w:p>
          <w:p w14:paraId="023F547D" w14:textId="77777777" w:rsidR="0034785A" w:rsidRPr="0034785A" w:rsidRDefault="0034785A" w:rsidP="00C70B65">
            <w:pPr>
              <w:tabs>
                <w:tab w:val="left" w:pos="9356"/>
              </w:tabs>
              <w:spacing w:line="276" w:lineRule="auto"/>
              <w:jc w:val="center"/>
              <w:rPr>
                <w:rFonts w:ascii="Arial" w:eastAsia="Arial Unicode MS" w:hAnsi="Arial" w:cs="Arial"/>
                <w:b/>
                <w:bCs/>
              </w:rPr>
            </w:pPr>
            <w:r w:rsidRPr="0034785A">
              <w:rPr>
                <w:rFonts w:ascii="Arial" w:eastAsia="Arial Unicode MS" w:hAnsi="Arial" w:cs="Arial"/>
                <w:b/>
                <w:bCs/>
              </w:rPr>
              <w:t>Josué Solana Salmorán</w:t>
            </w:r>
          </w:p>
          <w:p w14:paraId="5298FB94" w14:textId="77777777" w:rsidR="0034785A" w:rsidRPr="0034785A" w:rsidRDefault="0034785A" w:rsidP="00C70B65">
            <w:pPr>
              <w:tabs>
                <w:tab w:val="left" w:pos="9356"/>
              </w:tabs>
              <w:spacing w:line="276" w:lineRule="auto"/>
              <w:jc w:val="center"/>
              <w:rPr>
                <w:rFonts w:ascii="Arial" w:eastAsia="Arial Unicode MS" w:hAnsi="Arial" w:cs="Arial"/>
              </w:rPr>
            </w:pPr>
            <w:r w:rsidRPr="0034785A">
              <w:rPr>
                <w:rFonts w:ascii="Arial" w:eastAsia="Arial Unicode MS" w:hAnsi="Arial" w:cs="Arial"/>
              </w:rPr>
              <w:t>Comisionado</w:t>
            </w:r>
          </w:p>
        </w:tc>
      </w:tr>
      <w:tr w:rsidR="0034785A" w:rsidRPr="0034785A" w14:paraId="4E5388B0" w14:textId="77777777" w:rsidTr="0034785A">
        <w:tc>
          <w:tcPr>
            <w:tcW w:w="9078" w:type="dxa"/>
            <w:gridSpan w:val="2"/>
          </w:tcPr>
          <w:p w14:paraId="3981EA6D" w14:textId="77777777" w:rsidR="0034785A" w:rsidRPr="0034785A" w:rsidRDefault="0034785A" w:rsidP="00C70B65">
            <w:pPr>
              <w:tabs>
                <w:tab w:val="left" w:pos="9356"/>
              </w:tabs>
              <w:spacing w:line="276" w:lineRule="auto"/>
              <w:jc w:val="both"/>
              <w:rPr>
                <w:rFonts w:ascii="Arial" w:eastAsia="Arial Unicode MS" w:hAnsi="Arial" w:cs="Arial"/>
              </w:rPr>
            </w:pPr>
          </w:p>
          <w:p w14:paraId="480B21DA" w14:textId="77777777" w:rsidR="0034785A" w:rsidRPr="0034785A" w:rsidRDefault="0034785A" w:rsidP="00C70B65">
            <w:pPr>
              <w:tabs>
                <w:tab w:val="left" w:pos="9356"/>
              </w:tabs>
              <w:spacing w:line="276" w:lineRule="auto"/>
              <w:jc w:val="both"/>
              <w:rPr>
                <w:rFonts w:ascii="Arial" w:eastAsia="Arial Unicode MS" w:hAnsi="Arial" w:cs="Arial"/>
              </w:rPr>
            </w:pPr>
          </w:p>
          <w:p w14:paraId="6E1E8242" w14:textId="77777777" w:rsidR="0034785A" w:rsidRPr="0034785A" w:rsidRDefault="0034785A" w:rsidP="00C70B65">
            <w:pPr>
              <w:tabs>
                <w:tab w:val="left" w:pos="9356"/>
              </w:tabs>
              <w:spacing w:line="276" w:lineRule="auto"/>
              <w:jc w:val="center"/>
              <w:rPr>
                <w:rFonts w:ascii="Arial" w:eastAsia="Arial Unicode MS" w:hAnsi="Arial" w:cs="Arial"/>
                <w:b/>
              </w:rPr>
            </w:pPr>
            <w:r w:rsidRPr="0034785A">
              <w:rPr>
                <w:rFonts w:ascii="Arial" w:eastAsia="Arial Unicode MS" w:hAnsi="Arial" w:cs="Arial"/>
                <w:b/>
              </w:rPr>
              <w:t>Luis Alberto Pavón Mercado</w:t>
            </w:r>
          </w:p>
          <w:p w14:paraId="2378048E" w14:textId="77777777" w:rsidR="0034785A" w:rsidRPr="0034785A" w:rsidRDefault="0034785A" w:rsidP="00C70B65">
            <w:pPr>
              <w:tabs>
                <w:tab w:val="left" w:pos="9356"/>
              </w:tabs>
              <w:spacing w:line="276" w:lineRule="auto"/>
              <w:jc w:val="center"/>
              <w:rPr>
                <w:rFonts w:ascii="Arial" w:eastAsia="Arial Unicode MS" w:hAnsi="Arial" w:cs="Arial"/>
              </w:rPr>
            </w:pPr>
            <w:r w:rsidRPr="0034785A">
              <w:rPr>
                <w:rFonts w:ascii="Arial" w:eastAsia="Arial Unicode MS" w:hAnsi="Arial" w:cs="Arial"/>
              </w:rPr>
              <w:t>Secretario General de Acuerdos</w:t>
            </w:r>
          </w:p>
        </w:tc>
      </w:tr>
    </w:tbl>
    <w:p w14:paraId="75AF9E40" w14:textId="77777777" w:rsidR="0034785A" w:rsidRPr="0034785A" w:rsidRDefault="0034785A" w:rsidP="0034785A">
      <w:pPr>
        <w:tabs>
          <w:tab w:val="left" w:pos="9356"/>
        </w:tabs>
        <w:spacing w:line="276" w:lineRule="auto"/>
        <w:jc w:val="both"/>
        <w:rPr>
          <w:rFonts w:ascii="Arial" w:eastAsia="Arial Unicode MS" w:hAnsi="Arial" w:cs="Arial"/>
        </w:rPr>
      </w:pPr>
    </w:p>
    <w:p w14:paraId="6D57070A" w14:textId="77777777" w:rsidR="0034785A" w:rsidRPr="0034785A" w:rsidRDefault="0034785A" w:rsidP="0034785A">
      <w:pPr>
        <w:tabs>
          <w:tab w:val="left" w:pos="9356"/>
        </w:tabs>
        <w:spacing w:line="276" w:lineRule="auto"/>
        <w:jc w:val="both"/>
        <w:rPr>
          <w:rFonts w:ascii="Arial" w:eastAsia="Arial Unicode MS" w:hAnsi="Arial" w:cs="Arial"/>
        </w:rPr>
      </w:pPr>
    </w:p>
    <w:p w14:paraId="27A6EC27" w14:textId="77777777" w:rsidR="008131F4" w:rsidRPr="0034785A" w:rsidRDefault="008131F4" w:rsidP="0034785A">
      <w:pPr>
        <w:rPr>
          <w:rFonts w:ascii="Arial" w:eastAsia="Arial Unicode MS" w:hAnsi="Arial" w:cs="Arial"/>
        </w:rPr>
      </w:pPr>
    </w:p>
    <w:sectPr w:rsidR="008131F4" w:rsidRPr="0034785A">
      <w:headerReference w:type="default" r:id="rId9"/>
      <w:footerReference w:type="default" r:id="rId10"/>
      <w:pgSz w:w="12240" w:h="20160"/>
      <w:pgMar w:top="1702" w:right="1701" w:bottom="1276" w:left="170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B79C" w14:textId="77777777" w:rsidR="00C06AFA" w:rsidRDefault="00C06AFA">
      <w:r>
        <w:separator/>
      </w:r>
    </w:p>
  </w:endnote>
  <w:endnote w:type="continuationSeparator" w:id="0">
    <w:p w14:paraId="461F5062" w14:textId="77777777" w:rsidR="00C06AFA" w:rsidRDefault="00C0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Corbel"/>
    <w:charset w:val="4D"/>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AF4C" w14:textId="77777777" w:rsidR="0067630F" w:rsidRDefault="0067630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3298" w14:textId="77777777" w:rsidR="00C06AFA" w:rsidRDefault="00C06AFA">
      <w:r>
        <w:separator/>
      </w:r>
    </w:p>
  </w:footnote>
  <w:footnote w:type="continuationSeparator" w:id="0">
    <w:p w14:paraId="212FC7D9" w14:textId="77777777" w:rsidR="00C06AFA" w:rsidRDefault="00C0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0CCC" w14:textId="77777777" w:rsidR="0067630F" w:rsidRDefault="00C06AFA">
    <w:pPr>
      <w:pStyle w:val="Encabezado"/>
    </w:pPr>
    <w:sdt>
      <w:sdtPr>
        <w:id w:val="-671954885"/>
      </w:sdtPr>
      <w:sdtEndPr/>
      <w:sdtContent>
        <w:r w:rsidR="007469A3">
          <w:rPr>
            <w:noProof/>
          </w:rPr>
          <mc:AlternateContent>
            <mc:Choice Requires="wps">
              <w:drawing>
                <wp:anchor distT="0" distB="0" distL="114300" distR="114300" simplePos="0" relativeHeight="251661312" behindDoc="0" locked="0" layoutInCell="0" allowOverlap="1" wp14:anchorId="5BE3D5F5" wp14:editId="4E93FA29">
                  <wp:simplePos x="0" y="0"/>
                  <wp:positionH relativeFrom="righ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5F147C96" w14:textId="1F692440" w:rsidR="0067630F" w:rsidRPr="002B776A" w:rsidRDefault="007469A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86F8E" w:rsidRPr="00886F8E">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r w:rsidR="002B776A">
                                <w:rPr>
                                  <w:rFonts w:asciiTheme="majorHAnsi" w:eastAsiaTheme="majorEastAsia" w:hAnsiTheme="majorHAnsi" w:cstheme="majorBidi"/>
                                  <w:sz w:val="44"/>
                                  <w:szCs w:val="44"/>
                                </w:rPr>
                                <w:t xml:space="preserve"> </w:t>
                              </w:r>
                              <w:r w:rsidR="002B776A">
                                <w:rPr>
                                  <w:rFonts w:asciiTheme="majorHAnsi" w:eastAsiaTheme="majorEastAsia" w:hAnsiTheme="majorHAnsi" w:cstheme="majorBidi"/>
                                </w:rPr>
                                <w:t xml:space="preserve">de </w:t>
                              </w:r>
                              <w:r w:rsidR="00886F8E" w:rsidRPr="00886F8E">
                                <w:rPr>
                                  <w:rFonts w:asciiTheme="majorHAnsi" w:eastAsiaTheme="majorEastAsia" w:hAnsiTheme="majorHAnsi" w:cstheme="majorBidi"/>
                                  <w:noProof/>
                                  <w:sz w:val="44"/>
                                  <w:szCs w:val="44"/>
                                  <w:lang w:val="es-ES"/>
                                </w:rPr>
                                <w:t>7</w:t>
                              </w:r>
                            </w:p>
                          </w:txbxContent>
                        </wps:txbx>
                        <wps:bodyPr rot="0" vert="vert270" wrap="square" lIns="91440" tIns="45720" rIns="91440" bIns="45720" anchor="ctr" anchorCtr="0" upright="1">
                          <a:spAutoFit/>
                        </wps:bodyPr>
                      </wps:wsp>
                    </a:graphicData>
                  </a:graphic>
                </wp:anchor>
              </w:drawing>
            </mc:Choice>
            <mc:Fallback>
              <w:pict>
                <v:rect w14:anchorId="5BE3D5F5" id="Rectángulo 1" o:spid="_x0000_s1026" style="position:absolute;margin-left:0;margin-top:0;width:40.2pt;height:171.9pt;z-index:251661312;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DwoEHv1AQAAxA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5F147C96" w14:textId="1F692440" w:rsidR="0067630F" w:rsidRPr="002B776A" w:rsidRDefault="007469A3">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86F8E" w:rsidRPr="00886F8E">
                          <w:rPr>
                            <w:rFonts w:asciiTheme="majorHAnsi" w:eastAsiaTheme="majorEastAsia" w:hAnsiTheme="majorHAnsi" w:cstheme="majorBidi"/>
                            <w:noProof/>
                            <w:sz w:val="44"/>
                            <w:szCs w:val="44"/>
                            <w:lang w:val="es-ES"/>
                          </w:rPr>
                          <w:t>6</w:t>
                        </w:r>
                        <w:r>
                          <w:rPr>
                            <w:rFonts w:asciiTheme="majorHAnsi" w:eastAsiaTheme="majorEastAsia" w:hAnsiTheme="majorHAnsi" w:cstheme="majorBidi"/>
                            <w:sz w:val="44"/>
                            <w:szCs w:val="44"/>
                          </w:rPr>
                          <w:fldChar w:fldCharType="end"/>
                        </w:r>
                        <w:r w:rsidR="002B776A">
                          <w:rPr>
                            <w:rFonts w:asciiTheme="majorHAnsi" w:eastAsiaTheme="majorEastAsia" w:hAnsiTheme="majorHAnsi" w:cstheme="majorBidi"/>
                            <w:sz w:val="44"/>
                            <w:szCs w:val="44"/>
                          </w:rPr>
                          <w:t xml:space="preserve"> </w:t>
                        </w:r>
                        <w:r w:rsidR="002B776A">
                          <w:rPr>
                            <w:rFonts w:asciiTheme="majorHAnsi" w:eastAsiaTheme="majorEastAsia" w:hAnsiTheme="majorHAnsi" w:cstheme="majorBidi"/>
                          </w:rPr>
                          <w:t xml:space="preserve">de </w:t>
                        </w:r>
                        <w:r w:rsidR="00886F8E" w:rsidRPr="00886F8E">
                          <w:rPr>
                            <w:rFonts w:asciiTheme="majorHAnsi" w:eastAsiaTheme="majorEastAsia" w:hAnsiTheme="majorHAnsi" w:cstheme="majorBidi"/>
                            <w:noProof/>
                            <w:sz w:val="44"/>
                            <w:szCs w:val="44"/>
                            <w:lang w:val="es-ES"/>
                          </w:rPr>
                          <w:t>7</w:t>
                        </w:r>
                      </w:p>
                    </w:txbxContent>
                  </v:textbox>
                  <w10:wrap anchorx="margin" anchory="margin"/>
                </v:rect>
              </w:pict>
            </mc:Fallback>
          </mc:AlternateContent>
        </w:r>
      </w:sdtContent>
    </w:sdt>
    <w:r w:rsidR="007469A3">
      <w:rPr>
        <w:noProof/>
      </w:rPr>
      <w:drawing>
        <wp:anchor distT="0" distB="0" distL="114300" distR="114300" simplePos="0" relativeHeight="251659264" behindDoc="0" locked="0" layoutInCell="1" allowOverlap="1" wp14:anchorId="1DF0CECA" wp14:editId="3A39D155">
          <wp:simplePos x="0" y="0"/>
          <wp:positionH relativeFrom="column">
            <wp:posOffset>-276225</wp:posOffset>
          </wp:positionH>
          <wp:positionV relativeFrom="paragraph">
            <wp:posOffset>-431800</wp:posOffset>
          </wp:positionV>
          <wp:extent cx="6173470" cy="10287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r w:rsidR="007469A3">
      <w:rPr>
        <w:noProof/>
      </w:rPr>
      <w:drawing>
        <wp:anchor distT="0" distB="0" distL="114300" distR="114300" simplePos="0" relativeHeight="251660288" behindDoc="0" locked="0" layoutInCell="1" allowOverlap="1" wp14:anchorId="57207B53" wp14:editId="14280A01">
          <wp:simplePos x="0" y="0"/>
          <wp:positionH relativeFrom="margin">
            <wp:posOffset>2727960</wp:posOffset>
          </wp:positionH>
          <wp:positionV relativeFrom="paragraph">
            <wp:posOffset>5143500</wp:posOffset>
          </wp:positionV>
          <wp:extent cx="6790690" cy="113157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16200000">
                    <a:off x="0" y="0"/>
                    <a:ext cx="6790677" cy="1131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123F"/>
    <w:multiLevelType w:val="multilevel"/>
    <w:tmpl w:val="115B123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585279"/>
    <w:multiLevelType w:val="multilevel"/>
    <w:tmpl w:val="13585279"/>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4184B"/>
    <w:multiLevelType w:val="multilevel"/>
    <w:tmpl w:val="1C44184B"/>
    <w:lvl w:ilvl="0">
      <w:start w:val="1"/>
      <w:numFmt w:val="upperRoman"/>
      <w:lvlText w:val="%1."/>
      <w:lvlJc w:val="left"/>
      <w:pPr>
        <w:ind w:left="853"/>
      </w:pPr>
      <w:rPr>
        <w:rFonts w:ascii="Arial" w:eastAsia="Arial" w:hAnsi="Arial" w:cs="Arial"/>
        <w:b w:val="0"/>
        <w:i w:val="0"/>
        <w:strike w:val="0"/>
        <w:dstrike w:val="0"/>
        <w:color w:val="000000"/>
        <w:sz w:val="18"/>
        <w:szCs w:val="18"/>
        <w:u w:val="none" w:color="000000"/>
        <w:shd w:val="clear" w:color="auto" w:fill="auto"/>
        <w:vertAlign w:val="baseline"/>
      </w:rPr>
    </w:lvl>
    <w:lvl w:ilvl="1">
      <w:start w:val="1"/>
      <w:numFmt w:val="lowerLetter"/>
      <w:lvlText w:val="%2"/>
      <w:lvlJc w:val="left"/>
      <w:pPr>
        <w:ind w:left="1080"/>
      </w:pPr>
      <w:rPr>
        <w:rFonts w:ascii="Arial" w:eastAsia="Arial" w:hAnsi="Arial" w:cs="Arial"/>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shd w:val="clear" w:color="auto" w:fill="auto"/>
        <w:vertAlign w:val="baseline"/>
      </w:rPr>
    </w:lvl>
  </w:abstractNum>
  <w:abstractNum w:abstractNumId="3" w15:restartNumberingAfterBreak="0">
    <w:nsid w:val="3F403B1B"/>
    <w:multiLevelType w:val="hybridMultilevel"/>
    <w:tmpl w:val="5DC82BD8"/>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E8272C"/>
    <w:multiLevelType w:val="multilevel"/>
    <w:tmpl w:val="48E827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1B6989"/>
    <w:multiLevelType w:val="multilevel"/>
    <w:tmpl w:val="6D1B6989"/>
    <w:lvl w:ilvl="0">
      <w:start w:val="1"/>
      <w:numFmt w:val="lowerLetter"/>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3739C7"/>
    <w:multiLevelType w:val="hybridMultilevel"/>
    <w:tmpl w:val="7FFC82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8A6605"/>
    <w:multiLevelType w:val="hybridMultilevel"/>
    <w:tmpl w:val="3CAAAA3E"/>
    <w:lvl w:ilvl="0" w:tplc="8F88EE96">
      <w:start w:val="1"/>
      <w:numFmt w:val="decimal"/>
      <w:lvlText w:val="%1."/>
      <w:lvlJc w:val="center"/>
      <w:pPr>
        <w:ind w:left="720" w:hanging="360"/>
      </w:pPr>
      <w:rPr>
        <w:rFonts w:ascii="Avenir" w:hAnsi="Avenir"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F3E"/>
    <w:rsid w:val="00005E4A"/>
    <w:rsid w:val="00005F80"/>
    <w:rsid w:val="00025C15"/>
    <w:rsid w:val="0002784E"/>
    <w:rsid w:val="00041A44"/>
    <w:rsid w:val="00054AFB"/>
    <w:rsid w:val="00075AB7"/>
    <w:rsid w:val="000766C1"/>
    <w:rsid w:val="00085976"/>
    <w:rsid w:val="000900C6"/>
    <w:rsid w:val="0009316C"/>
    <w:rsid w:val="000C017F"/>
    <w:rsid w:val="000C136A"/>
    <w:rsid w:val="000D00B9"/>
    <w:rsid w:val="000F53F7"/>
    <w:rsid w:val="001442F6"/>
    <w:rsid w:val="00150315"/>
    <w:rsid w:val="001550BD"/>
    <w:rsid w:val="00172830"/>
    <w:rsid w:val="0018457A"/>
    <w:rsid w:val="00185687"/>
    <w:rsid w:val="00185724"/>
    <w:rsid w:val="00191709"/>
    <w:rsid w:val="001A264E"/>
    <w:rsid w:val="001B3254"/>
    <w:rsid w:val="001B65E7"/>
    <w:rsid w:val="001C04D6"/>
    <w:rsid w:val="001C3A24"/>
    <w:rsid w:val="001C5977"/>
    <w:rsid w:val="001C788C"/>
    <w:rsid w:val="001D30EE"/>
    <w:rsid w:val="001D7F3B"/>
    <w:rsid w:val="001E02F2"/>
    <w:rsid w:val="002060F1"/>
    <w:rsid w:val="00216879"/>
    <w:rsid w:val="00220742"/>
    <w:rsid w:val="002214D5"/>
    <w:rsid w:val="00224F51"/>
    <w:rsid w:val="002256BA"/>
    <w:rsid w:val="0026036D"/>
    <w:rsid w:val="00260755"/>
    <w:rsid w:val="002634A0"/>
    <w:rsid w:val="00272C25"/>
    <w:rsid w:val="002B776A"/>
    <w:rsid w:val="002C3699"/>
    <w:rsid w:val="002C54D1"/>
    <w:rsid w:val="002D14A2"/>
    <w:rsid w:val="002D152B"/>
    <w:rsid w:val="002E6BFE"/>
    <w:rsid w:val="002E7D3D"/>
    <w:rsid w:val="00320B59"/>
    <w:rsid w:val="00322B3A"/>
    <w:rsid w:val="00343A1B"/>
    <w:rsid w:val="0034785A"/>
    <w:rsid w:val="0035184F"/>
    <w:rsid w:val="00361CAA"/>
    <w:rsid w:val="0037163E"/>
    <w:rsid w:val="003729E9"/>
    <w:rsid w:val="00374739"/>
    <w:rsid w:val="003A2DBA"/>
    <w:rsid w:val="003D62A2"/>
    <w:rsid w:val="003E28AA"/>
    <w:rsid w:val="003E29FB"/>
    <w:rsid w:val="003F0D94"/>
    <w:rsid w:val="003F7C21"/>
    <w:rsid w:val="0040526B"/>
    <w:rsid w:val="004321B0"/>
    <w:rsid w:val="00434105"/>
    <w:rsid w:val="004468A4"/>
    <w:rsid w:val="00454664"/>
    <w:rsid w:val="00476F4C"/>
    <w:rsid w:val="00477F2D"/>
    <w:rsid w:val="00481EE2"/>
    <w:rsid w:val="00496B6A"/>
    <w:rsid w:val="004A7009"/>
    <w:rsid w:val="004B0268"/>
    <w:rsid w:val="004B5CAD"/>
    <w:rsid w:val="004D021A"/>
    <w:rsid w:val="004F5E99"/>
    <w:rsid w:val="0050312A"/>
    <w:rsid w:val="0050340A"/>
    <w:rsid w:val="00505074"/>
    <w:rsid w:val="00523279"/>
    <w:rsid w:val="0053215D"/>
    <w:rsid w:val="00541CC9"/>
    <w:rsid w:val="00545D16"/>
    <w:rsid w:val="005536F7"/>
    <w:rsid w:val="0055595A"/>
    <w:rsid w:val="00561016"/>
    <w:rsid w:val="00570C94"/>
    <w:rsid w:val="0057737A"/>
    <w:rsid w:val="005A3CA0"/>
    <w:rsid w:val="005B222A"/>
    <w:rsid w:val="005F6794"/>
    <w:rsid w:val="00600C9E"/>
    <w:rsid w:val="00607574"/>
    <w:rsid w:val="0061401C"/>
    <w:rsid w:val="0062112D"/>
    <w:rsid w:val="00634FB1"/>
    <w:rsid w:val="00641EBA"/>
    <w:rsid w:val="00652BB6"/>
    <w:rsid w:val="0065797C"/>
    <w:rsid w:val="006647D2"/>
    <w:rsid w:val="0067630F"/>
    <w:rsid w:val="00687C7D"/>
    <w:rsid w:val="00694F40"/>
    <w:rsid w:val="006A06A3"/>
    <w:rsid w:val="006A500C"/>
    <w:rsid w:val="006A5C5B"/>
    <w:rsid w:val="006E626B"/>
    <w:rsid w:val="006F1829"/>
    <w:rsid w:val="0071592F"/>
    <w:rsid w:val="00733C91"/>
    <w:rsid w:val="007469A3"/>
    <w:rsid w:val="007A03FD"/>
    <w:rsid w:val="007B18BD"/>
    <w:rsid w:val="007E5517"/>
    <w:rsid w:val="007F2169"/>
    <w:rsid w:val="007F765C"/>
    <w:rsid w:val="00801920"/>
    <w:rsid w:val="008034FE"/>
    <w:rsid w:val="00803E6E"/>
    <w:rsid w:val="008131F4"/>
    <w:rsid w:val="00816D60"/>
    <w:rsid w:val="00830F3B"/>
    <w:rsid w:val="00845C24"/>
    <w:rsid w:val="00864961"/>
    <w:rsid w:val="00865165"/>
    <w:rsid w:val="00873167"/>
    <w:rsid w:val="00886F8E"/>
    <w:rsid w:val="00895DF9"/>
    <w:rsid w:val="008A683F"/>
    <w:rsid w:val="008B35A1"/>
    <w:rsid w:val="008C14B4"/>
    <w:rsid w:val="008C5A44"/>
    <w:rsid w:val="008E5DD9"/>
    <w:rsid w:val="008F1B5F"/>
    <w:rsid w:val="009100C6"/>
    <w:rsid w:val="009118D1"/>
    <w:rsid w:val="00920943"/>
    <w:rsid w:val="00930CA1"/>
    <w:rsid w:val="009337E4"/>
    <w:rsid w:val="0096026F"/>
    <w:rsid w:val="009835DE"/>
    <w:rsid w:val="009840DA"/>
    <w:rsid w:val="009A74A4"/>
    <w:rsid w:val="009B0305"/>
    <w:rsid w:val="009D3B03"/>
    <w:rsid w:val="009D677F"/>
    <w:rsid w:val="009E20E2"/>
    <w:rsid w:val="009E3849"/>
    <w:rsid w:val="009E4021"/>
    <w:rsid w:val="009E4339"/>
    <w:rsid w:val="00A0527C"/>
    <w:rsid w:val="00A05316"/>
    <w:rsid w:val="00A13974"/>
    <w:rsid w:val="00A20F2D"/>
    <w:rsid w:val="00A20FDD"/>
    <w:rsid w:val="00A23150"/>
    <w:rsid w:val="00A25729"/>
    <w:rsid w:val="00A31065"/>
    <w:rsid w:val="00A32B9E"/>
    <w:rsid w:val="00A4694C"/>
    <w:rsid w:val="00A56332"/>
    <w:rsid w:val="00A56D8F"/>
    <w:rsid w:val="00A9504A"/>
    <w:rsid w:val="00A952E5"/>
    <w:rsid w:val="00AA2E42"/>
    <w:rsid w:val="00AC4B41"/>
    <w:rsid w:val="00AF3FBB"/>
    <w:rsid w:val="00AF70FE"/>
    <w:rsid w:val="00B253D7"/>
    <w:rsid w:val="00B61E4D"/>
    <w:rsid w:val="00B772C6"/>
    <w:rsid w:val="00B83776"/>
    <w:rsid w:val="00B95128"/>
    <w:rsid w:val="00BB2929"/>
    <w:rsid w:val="00BC5129"/>
    <w:rsid w:val="00BC727A"/>
    <w:rsid w:val="00BD1327"/>
    <w:rsid w:val="00BF56C0"/>
    <w:rsid w:val="00C0274B"/>
    <w:rsid w:val="00C0454F"/>
    <w:rsid w:val="00C06AFA"/>
    <w:rsid w:val="00C07082"/>
    <w:rsid w:val="00C07E2F"/>
    <w:rsid w:val="00C25E29"/>
    <w:rsid w:val="00C27930"/>
    <w:rsid w:val="00C335F7"/>
    <w:rsid w:val="00C4208B"/>
    <w:rsid w:val="00C541F3"/>
    <w:rsid w:val="00C57B22"/>
    <w:rsid w:val="00C6565F"/>
    <w:rsid w:val="00C6667C"/>
    <w:rsid w:val="00C7323D"/>
    <w:rsid w:val="00C85FDE"/>
    <w:rsid w:val="00C8662A"/>
    <w:rsid w:val="00CB7833"/>
    <w:rsid w:val="00CC05E7"/>
    <w:rsid w:val="00CC0AFD"/>
    <w:rsid w:val="00CD46D8"/>
    <w:rsid w:val="00CF62E8"/>
    <w:rsid w:val="00D119C6"/>
    <w:rsid w:val="00D47E70"/>
    <w:rsid w:val="00D55ADA"/>
    <w:rsid w:val="00D623AF"/>
    <w:rsid w:val="00D74E49"/>
    <w:rsid w:val="00D86245"/>
    <w:rsid w:val="00D86A2A"/>
    <w:rsid w:val="00D94F21"/>
    <w:rsid w:val="00D96B13"/>
    <w:rsid w:val="00D97DC0"/>
    <w:rsid w:val="00DC0B0F"/>
    <w:rsid w:val="00DC1402"/>
    <w:rsid w:val="00DC29FB"/>
    <w:rsid w:val="00DC65C4"/>
    <w:rsid w:val="00DD2DCE"/>
    <w:rsid w:val="00DD64E0"/>
    <w:rsid w:val="00DE3609"/>
    <w:rsid w:val="00E078C3"/>
    <w:rsid w:val="00E07EF8"/>
    <w:rsid w:val="00E12CE7"/>
    <w:rsid w:val="00E17F58"/>
    <w:rsid w:val="00E2465B"/>
    <w:rsid w:val="00E3276F"/>
    <w:rsid w:val="00E42C09"/>
    <w:rsid w:val="00E662BB"/>
    <w:rsid w:val="00E84E89"/>
    <w:rsid w:val="00E850C2"/>
    <w:rsid w:val="00E941AA"/>
    <w:rsid w:val="00E946D1"/>
    <w:rsid w:val="00EA15DA"/>
    <w:rsid w:val="00EB0B63"/>
    <w:rsid w:val="00EB25D0"/>
    <w:rsid w:val="00EB3410"/>
    <w:rsid w:val="00EC73CB"/>
    <w:rsid w:val="00EC7B06"/>
    <w:rsid w:val="00EE3154"/>
    <w:rsid w:val="00EE48C4"/>
    <w:rsid w:val="00EF52FD"/>
    <w:rsid w:val="00F01AA1"/>
    <w:rsid w:val="00F023FE"/>
    <w:rsid w:val="00F36284"/>
    <w:rsid w:val="00F45EC2"/>
    <w:rsid w:val="00F517F4"/>
    <w:rsid w:val="00F56F58"/>
    <w:rsid w:val="00F6307C"/>
    <w:rsid w:val="00F7087A"/>
    <w:rsid w:val="00F854FE"/>
    <w:rsid w:val="00FA67E0"/>
    <w:rsid w:val="00FA7744"/>
    <w:rsid w:val="00FB1509"/>
    <w:rsid w:val="03FC48A3"/>
    <w:rsid w:val="04175193"/>
    <w:rsid w:val="077051F8"/>
    <w:rsid w:val="249A0C7F"/>
    <w:rsid w:val="2D4B38B1"/>
    <w:rsid w:val="2EB93A0A"/>
    <w:rsid w:val="2F1F4515"/>
    <w:rsid w:val="36F85321"/>
    <w:rsid w:val="3A8E53AE"/>
    <w:rsid w:val="3C393F73"/>
    <w:rsid w:val="5E1C753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953EA"/>
  <w15:docId w15:val="{E3132B43-2326-4565-8344-F4E9E2C9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A"/>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qFormat/>
    <w:rPr>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semiHidden/>
    <w:unhideWhenUsed/>
    <w:qFormat/>
    <w:pPr>
      <w:spacing w:before="100" w:beforeAutospacing="1" w:after="100" w:afterAutospacing="1"/>
    </w:pPr>
  </w:style>
  <w:style w:type="paragraph" w:styleId="Piedepgina">
    <w:name w:val="footer"/>
    <w:basedOn w:val="Normal"/>
    <w:link w:val="PiedepginaCar"/>
    <w:uiPriority w:val="99"/>
    <w:unhideWhenUsed/>
    <w:qFormat/>
    <w:pPr>
      <w:tabs>
        <w:tab w:val="center" w:pos="4419"/>
        <w:tab w:val="right" w:pos="8838"/>
      </w:tabs>
    </w:pPr>
  </w:style>
  <w:style w:type="table" w:styleId="Tablaconcuadrcula">
    <w:name w:val="Table Grid"/>
    <w:basedOn w:val="Tablanormal"/>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paragraph" w:styleId="Sinespaciado">
    <w:name w:val="No Spacing"/>
    <w:uiPriority w:val="1"/>
    <w:qFormat/>
    <w:pPr>
      <w:ind w:left="10" w:right="65" w:hanging="10"/>
      <w:jc w:val="both"/>
    </w:pPr>
    <w:rPr>
      <w:rFonts w:ascii="Arial" w:eastAsia="Arial" w:hAnsi="Arial" w:cs="Arial"/>
      <w:color w:val="000000"/>
      <w:sz w:val="22"/>
      <w:szCs w:val="22"/>
      <w:lang w:bidi="es-MX"/>
    </w:rPr>
  </w:style>
  <w:style w:type="character" w:customStyle="1" w:styleId="MSGENFONTSTYLENAMETEMPLATEROLENUMBERMSGENFONTSTYLENAMEBYROLETEXT16">
    <w:name w:val="MSG_EN_FONT_STYLE_NAME_TEMPLATE_ROLE_NUMBER MSG_EN_FONT_STYLE_NAME_BY_ROLE_TEXT 16_"/>
    <w:basedOn w:val="Fuentedeprrafopredeter"/>
    <w:link w:val="MSGENFONTSTYLENAMETEMPLATEROLENUMBERMSGENFONTSTYLENAMEBYROLETEXT160"/>
    <w:qFormat/>
    <w:rPr>
      <w:rFonts w:ascii="Arial" w:eastAsia="Arial" w:hAnsi="Arial" w:cs="Arial"/>
      <w:sz w:val="15"/>
      <w:szCs w:val="15"/>
      <w:shd w:val="clear" w:color="auto" w:fill="FFFFFF"/>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qFormat/>
    <w:pPr>
      <w:widowControl w:val="0"/>
      <w:shd w:val="clear" w:color="auto" w:fill="FFFFFF"/>
      <w:spacing w:before="1020" w:after="200" w:line="224" w:lineRule="exact"/>
      <w:ind w:hanging="640"/>
      <w:jc w:val="both"/>
    </w:pPr>
    <w:rPr>
      <w:rFonts w:ascii="Arial" w:eastAsia="Arial" w:hAnsi="Arial" w:cs="Arial"/>
      <w:sz w:val="15"/>
      <w:szCs w:val="15"/>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2F5496" w:themeColor="accent1" w:themeShade="BF"/>
      <w:sz w:val="32"/>
      <w:szCs w:val="32"/>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styleId="Refdecomentario">
    <w:name w:val="annotation reference"/>
    <w:basedOn w:val="Fuentedeprrafopredeter"/>
    <w:uiPriority w:val="99"/>
    <w:semiHidden/>
    <w:unhideWhenUsed/>
    <w:rsid w:val="008E5DD9"/>
    <w:rPr>
      <w:sz w:val="16"/>
      <w:szCs w:val="16"/>
    </w:rPr>
  </w:style>
  <w:style w:type="paragraph" w:styleId="Textocomentario">
    <w:name w:val="annotation text"/>
    <w:basedOn w:val="Normal"/>
    <w:link w:val="TextocomentarioCar"/>
    <w:uiPriority w:val="99"/>
    <w:semiHidden/>
    <w:unhideWhenUsed/>
    <w:rsid w:val="008E5DD9"/>
    <w:rPr>
      <w:sz w:val="20"/>
      <w:szCs w:val="20"/>
    </w:rPr>
  </w:style>
  <w:style w:type="character" w:customStyle="1" w:styleId="TextocomentarioCar">
    <w:name w:val="Texto comentario Car"/>
    <w:basedOn w:val="Fuentedeprrafopredeter"/>
    <w:link w:val="Textocomentario"/>
    <w:uiPriority w:val="99"/>
    <w:semiHidden/>
    <w:rsid w:val="008E5DD9"/>
    <w:rPr>
      <w:lang w:eastAsia="en-US"/>
    </w:rPr>
  </w:style>
  <w:style w:type="paragraph" w:styleId="Asuntodelcomentario">
    <w:name w:val="annotation subject"/>
    <w:basedOn w:val="Textocomentario"/>
    <w:next w:val="Textocomentario"/>
    <w:link w:val="AsuntodelcomentarioCar"/>
    <w:uiPriority w:val="99"/>
    <w:semiHidden/>
    <w:unhideWhenUsed/>
    <w:rsid w:val="008E5DD9"/>
    <w:rPr>
      <w:b/>
      <w:bCs/>
    </w:rPr>
  </w:style>
  <w:style w:type="character" w:customStyle="1" w:styleId="AsuntodelcomentarioCar">
    <w:name w:val="Asunto del comentario Car"/>
    <w:basedOn w:val="TextocomentarioCar"/>
    <w:link w:val="Asuntodelcomentario"/>
    <w:uiPriority w:val="99"/>
    <w:semiHidden/>
    <w:rsid w:val="008E5DD9"/>
    <w:rPr>
      <w:b/>
      <w:bCs/>
      <w:lang w:eastAsia="en-US"/>
    </w:rPr>
  </w:style>
  <w:style w:type="character" w:styleId="Refdenotaalpie">
    <w:name w:val="footnote reference"/>
    <w:basedOn w:val="Fuentedeprrafopredeter"/>
    <w:uiPriority w:val="99"/>
    <w:semiHidden/>
    <w:unhideWhenUsed/>
    <w:qFormat/>
    <w:rsid w:val="008131F4"/>
    <w:rPr>
      <w:vertAlign w:val="superscript"/>
    </w:rPr>
  </w:style>
  <w:style w:type="paragraph" w:styleId="Textonotapie">
    <w:name w:val="footnote text"/>
    <w:basedOn w:val="Normal"/>
    <w:link w:val="TextonotapieCar"/>
    <w:uiPriority w:val="99"/>
    <w:unhideWhenUsed/>
    <w:qFormat/>
    <w:rsid w:val="008131F4"/>
    <w:rPr>
      <w:sz w:val="20"/>
      <w:szCs w:val="20"/>
    </w:rPr>
  </w:style>
  <w:style w:type="character" w:customStyle="1" w:styleId="TextonotapieCar">
    <w:name w:val="Texto nota pie Car"/>
    <w:basedOn w:val="Fuentedeprrafopredeter"/>
    <w:link w:val="Textonotapie"/>
    <w:uiPriority w:val="99"/>
    <w:rsid w:val="008131F4"/>
    <w:rPr>
      <w:lang w:eastAsia="en-US"/>
    </w:rPr>
  </w:style>
  <w:style w:type="character" w:customStyle="1" w:styleId="PrrafodelistaCar">
    <w:name w:val="Párrafo de lista Car"/>
    <w:link w:val="Prrafodelista"/>
    <w:uiPriority w:val="34"/>
    <w:locked/>
    <w:rsid w:val="003478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00474">
      <w:bodyDiv w:val="1"/>
      <w:marLeft w:val="0"/>
      <w:marRight w:val="0"/>
      <w:marTop w:val="0"/>
      <w:marBottom w:val="0"/>
      <w:divBdr>
        <w:top w:val="none" w:sz="0" w:space="0" w:color="auto"/>
        <w:left w:val="none" w:sz="0" w:space="0" w:color="auto"/>
        <w:bottom w:val="none" w:sz="0" w:space="0" w:color="auto"/>
        <w:right w:val="none" w:sz="0" w:space="0" w:color="auto"/>
      </w:divBdr>
    </w:div>
    <w:div w:id="477889693">
      <w:bodyDiv w:val="1"/>
      <w:marLeft w:val="0"/>
      <w:marRight w:val="0"/>
      <w:marTop w:val="0"/>
      <w:marBottom w:val="0"/>
      <w:divBdr>
        <w:top w:val="none" w:sz="0" w:space="0" w:color="auto"/>
        <w:left w:val="none" w:sz="0" w:space="0" w:color="auto"/>
        <w:bottom w:val="none" w:sz="0" w:space="0" w:color="auto"/>
        <w:right w:val="none" w:sz="0" w:space="0" w:color="auto"/>
      </w:divBdr>
    </w:div>
    <w:div w:id="94485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46E6E99-6A1C-4F20-8AAE-345A71BFEFC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2457</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GOB-ABIERTO</cp:lastModifiedBy>
  <cp:revision>6</cp:revision>
  <cp:lastPrinted>2022-09-27T18:53:00Z</cp:lastPrinted>
  <dcterms:created xsi:type="dcterms:W3CDTF">2022-09-27T17:51:00Z</dcterms:created>
  <dcterms:modified xsi:type="dcterms:W3CDTF">2022-11-01T18:36:00Z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2058-11.2.0.11254</vt:lpwstr>
  </property>
  <property fmtid="{D5CDD505-2E9C-101B-9397-08002B2CF9AE}" pid="3" name="ICV">
    <vt:lpwstr>1444F3BECA9744F99B25AB5B5994A924</vt:lpwstr>
  </property>
</Properties>
</file>